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85287" w14:textId="1A54B058" w:rsidR="00DC6C40" w:rsidRPr="001F6F9D" w:rsidRDefault="00763343" w:rsidP="00763343">
      <w:pPr>
        <w:spacing w:before="0" w:line="240" w:lineRule="auto"/>
        <w:jc w:val="left"/>
        <w:rPr>
          <w:b/>
          <w:szCs w:val="24"/>
        </w:rPr>
      </w:pPr>
      <w:r w:rsidRPr="00763343">
        <w:rPr>
          <w:rFonts w:eastAsia="Calibri"/>
          <w:b/>
          <w:bCs/>
          <w:color w:val="00B050"/>
          <w:sz w:val="32"/>
          <w:szCs w:val="32"/>
        </w:rPr>
        <w:t>Implementasi Pembelajaran Sains Kontekstual Menggunakan Sumber Daya Alam Sekitar untuk Meningkatkan Pemahaman Konsep IPA Siswa SD</w:t>
      </w:r>
    </w:p>
    <w:p w14:paraId="56B2E1E1" w14:textId="3DFDD432" w:rsidR="000D5B40" w:rsidRPr="001F6F9D" w:rsidRDefault="00763343" w:rsidP="006A1194">
      <w:pPr>
        <w:shd w:val="clear" w:color="auto" w:fill="002060"/>
        <w:rPr>
          <w:b/>
          <w:i/>
          <w:sz w:val="16"/>
          <w:szCs w:val="16"/>
          <w:vertAlign w:val="superscript"/>
        </w:rPr>
      </w:pPr>
      <w:r w:rsidRPr="001F6F9D">
        <w:rPr>
          <w:noProof/>
        </w:rPr>
        <w:drawing>
          <wp:anchor distT="0" distB="0" distL="114300" distR="114300" simplePos="0" relativeHeight="251657216" behindDoc="0" locked="0" layoutInCell="1" allowOverlap="1" wp14:anchorId="6B35DD46" wp14:editId="25B98A10">
            <wp:simplePos x="0" y="0"/>
            <wp:positionH relativeFrom="column">
              <wp:posOffset>2140585</wp:posOffset>
            </wp:positionH>
            <wp:positionV relativeFrom="paragraph">
              <wp:posOffset>111125</wp:posOffset>
            </wp:positionV>
            <wp:extent cx="403225" cy="23495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03225"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A1194" w:rsidRPr="001F6F9D">
        <w:rPr>
          <w:rFonts w:eastAsia="Cambria"/>
          <w:b/>
        </w:rPr>
        <w:t xml:space="preserve"> </w:t>
      </w:r>
      <w:r>
        <w:rPr>
          <w:rFonts w:eastAsia="Cambria"/>
          <w:b/>
        </w:rPr>
        <w:t>Marheni Rayung Puspaningrum</w:t>
      </w:r>
      <w:r w:rsidR="006A1194" w:rsidRPr="001F6F9D">
        <w:rPr>
          <w:rFonts w:eastAsia="Cambria"/>
          <w:b/>
          <w:vertAlign w:val="superscript"/>
        </w:rPr>
        <w:t>1*</w:t>
      </w:r>
    </w:p>
    <w:p w14:paraId="6670F1F2" w14:textId="26161EAE" w:rsidR="008F1260" w:rsidRDefault="008F1260" w:rsidP="006A1194">
      <w:pPr>
        <w:shd w:val="clear" w:color="auto" w:fill="002060"/>
        <w:spacing w:before="0" w:line="240" w:lineRule="auto"/>
        <w:rPr>
          <w:bCs/>
          <w:color w:val="FFFFFF"/>
          <w:sz w:val="18"/>
          <w:szCs w:val="18"/>
          <w:lang w:val="en-US"/>
        </w:rPr>
      </w:pPr>
      <w:r w:rsidRPr="001F6F9D">
        <w:rPr>
          <w:bCs/>
          <w:color w:val="FFFFFF"/>
          <w:sz w:val="18"/>
          <w:szCs w:val="18"/>
        </w:rPr>
        <w:t>1</w:t>
      </w:r>
      <w:r w:rsidR="006A1194" w:rsidRPr="001F6F9D">
        <w:rPr>
          <w:bCs/>
          <w:color w:val="FFFFFF"/>
          <w:sz w:val="18"/>
          <w:szCs w:val="18"/>
        </w:rPr>
        <w:t xml:space="preserve"> </w:t>
      </w:r>
      <w:r w:rsidR="00763343">
        <w:rPr>
          <w:bCs/>
          <w:color w:val="FFFFFF"/>
          <w:sz w:val="18"/>
          <w:szCs w:val="18"/>
          <w:lang w:val="en-US"/>
        </w:rPr>
        <w:t>Pendidikan Guru Sekolah Dasar</w:t>
      </w:r>
      <w:r w:rsidR="006A1194" w:rsidRPr="001F6F9D">
        <w:rPr>
          <w:bCs/>
          <w:color w:val="FFFFFF"/>
          <w:sz w:val="18"/>
          <w:szCs w:val="18"/>
          <w:lang w:val="en-US"/>
        </w:rPr>
        <w:t>, Universitas</w:t>
      </w:r>
      <w:r w:rsidR="00763343">
        <w:rPr>
          <w:bCs/>
          <w:color w:val="FFFFFF"/>
          <w:sz w:val="18"/>
          <w:szCs w:val="18"/>
          <w:lang w:val="en-US"/>
        </w:rPr>
        <w:t xml:space="preserve"> Doktor Nugroho Magetan</w:t>
      </w:r>
      <w:r w:rsidR="006A1194" w:rsidRPr="001F6F9D">
        <w:rPr>
          <w:bCs/>
          <w:color w:val="FFFFFF"/>
          <w:sz w:val="18"/>
          <w:szCs w:val="18"/>
          <w:lang w:val="en-US"/>
        </w:rPr>
        <w:t xml:space="preserve">, </w:t>
      </w:r>
      <w:r w:rsidR="00763343">
        <w:rPr>
          <w:bCs/>
          <w:color w:val="FFFFFF"/>
          <w:sz w:val="18"/>
          <w:szCs w:val="18"/>
          <w:lang w:val="en-US"/>
        </w:rPr>
        <w:t>Magetan</w:t>
      </w:r>
      <w:r w:rsidR="006A1194" w:rsidRPr="001F6F9D">
        <w:rPr>
          <w:bCs/>
          <w:color w:val="FFFFFF"/>
          <w:sz w:val="18"/>
          <w:szCs w:val="18"/>
          <w:lang w:val="en-US"/>
        </w:rPr>
        <w:t xml:space="preserve">, </w:t>
      </w:r>
      <w:r w:rsidR="00763343">
        <w:rPr>
          <w:bCs/>
          <w:color w:val="FFFFFF"/>
          <w:sz w:val="18"/>
          <w:szCs w:val="18"/>
          <w:lang w:val="en-US"/>
        </w:rPr>
        <w:t>Indonesia</w:t>
      </w:r>
    </w:p>
    <w:p w14:paraId="59A4BFCD" w14:textId="65501FD6" w:rsidR="000264A3" w:rsidRPr="001F6F9D" w:rsidRDefault="000B3983" w:rsidP="006A1194">
      <w:pPr>
        <w:shd w:val="clear" w:color="auto" w:fill="002060"/>
        <w:spacing w:before="0" w:line="240" w:lineRule="auto"/>
        <w:rPr>
          <w:bCs/>
          <w:color w:val="FFFFFF"/>
          <w:sz w:val="18"/>
          <w:szCs w:val="18"/>
          <w:lang w:val="en-US"/>
        </w:rPr>
      </w:pPr>
      <w:r w:rsidRPr="000B3983">
        <w:rPr>
          <w:bCs/>
          <w:i/>
          <w:color w:val="FFFFFF"/>
          <w:sz w:val="18"/>
          <w:szCs w:val="18"/>
        </w:rPr>
        <w:t>Penulis Korespondensi</w:t>
      </w:r>
      <w:r w:rsidR="000264A3" w:rsidRPr="000264A3">
        <w:rPr>
          <w:bCs/>
          <w:i/>
          <w:color w:val="FFFFFF"/>
          <w:sz w:val="18"/>
          <w:szCs w:val="18"/>
        </w:rPr>
        <w:t>:</w:t>
      </w:r>
      <w:r w:rsidR="00763343">
        <w:rPr>
          <w:bCs/>
          <w:i/>
          <w:color w:val="FFFFFF"/>
          <w:sz w:val="18"/>
          <w:szCs w:val="18"/>
        </w:rPr>
        <w:t xml:space="preserve"> </w:t>
      </w:r>
      <w:hyperlink r:id="rId10" w:history="1">
        <w:r w:rsidR="00763343" w:rsidRPr="006E4E62">
          <w:rPr>
            <w:rStyle w:val="Hyperlink"/>
            <w:bCs/>
            <w:i/>
            <w:sz w:val="18"/>
            <w:szCs w:val="18"/>
          </w:rPr>
          <w:t>bulana280@gmail.com</w:t>
        </w:r>
      </w:hyperlink>
      <w:r w:rsidR="00763343">
        <w:rPr>
          <w:bCs/>
          <w:i/>
          <w:color w:val="FFFFFF"/>
          <w:sz w:val="18"/>
          <w:szCs w:val="18"/>
        </w:rPr>
        <w:t xml:space="preserve"> </w:t>
      </w:r>
    </w:p>
    <w:p w14:paraId="15FEAE21" w14:textId="77777777" w:rsidR="00045BD7" w:rsidRPr="001F6F9D" w:rsidRDefault="00045BD7" w:rsidP="00A21CA7">
      <w:pPr>
        <w:spacing w:before="0" w:line="240" w:lineRule="auto"/>
        <w:ind w:right="-2"/>
        <w:jc w:val="right"/>
        <w:rPr>
          <w:sz w:val="18"/>
          <w:szCs w:val="18"/>
          <w:lang w:val="pt-BR"/>
        </w:rPr>
      </w:pPr>
    </w:p>
    <w:p w14:paraId="666AD9F7" w14:textId="77777777" w:rsidR="00567531" w:rsidRPr="001F6F9D" w:rsidRDefault="00567531" w:rsidP="003F1FE8">
      <w:pPr>
        <w:pStyle w:val="author"/>
        <w:pBdr>
          <w:bottom w:val="single" w:sz="4" w:space="1" w:color="auto"/>
        </w:pBdr>
        <w:spacing w:line="240" w:lineRule="auto"/>
        <w:ind w:right="-2"/>
        <w:jc w:val="left"/>
        <w:rPr>
          <w:i/>
          <w:color w:val="000000"/>
          <w:sz w:val="16"/>
          <w:szCs w:val="16"/>
        </w:rPr>
      </w:pPr>
    </w:p>
    <w:p w14:paraId="2C38B87E" w14:textId="51CD9479" w:rsidR="005D0022" w:rsidRPr="00670F76" w:rsidRDefault="00E4345E" w:rsidP="005D0022">
      <w:pPr>
        <w:pBdr>
          <w:bottom w:val="single" w:sz="4" w:space="1" w:color="auto"/>
        </w:pBdr>
        <w:rPr>
          <w:b/>
          <w:sz w:val="18"/>
          <w:szCs w:val="18"/>
        </w:rPr>
      </w:pPr>
      <w:r w:rsidRPr="00670F76">
        <w:rPr>
          <w:noProof/>
          <w:sz w:val="18"/>
          <w:szCs w:val="18"/>
        </w:rPr>
        <mc:AlternateContent>
          <mc:Choice Requires="wps">
            <w:drawing>
              <wp:anchor distT="45720" distB="45720" distL="114300" distR="114300" simplePos="0" relativeHeight="251651584" behindDoc="0" locked="0" layoutInCell="1" allowOverlap="1" wp14:anchorId="0C76ADAF" wp14:editId="6C39B5FF">
                <wp:simplePos x="0" y="0"/>
                <wp:positionH relativeFrom="column">
                  <wp:posOffset>5715</wp:posOffset>
                </wp:positionH>
                <wp:positionV relativeFrom="paragraph">
                  <wp:posOffset>149225</wp:posOffset>
                </wp:positionV>
                <wp:extent cx="1682115" cy="2671445"/>
                <wp:effectExtent l="0" t="0" r="6985" b="0"/>
                <wp:wrapSquare wrapText="bothSides"/>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267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C5692" w14:textId="77777777" w:rsidR="00F97D29" w:rsidRPr="00E40F89" w:rsidRDefault="00F97D29" w:rsidP="0044623E">
                            <w:pPr>
                              <w:pBdr>
                                <w:bottom w:val="single" w:sz="4" w:space="1" w:color="auto"/>
                              </w:pBdr>
                              <w:spacing w:before="0" w:line="240" w:lineRule="auto"/>
                              <w:rPr>
                                <w:b/>
                                <w:bCs/>
                                <w:sz w:val="18"/>
                                <w:szCs w:val="18"/>
                              </w:rPr>
                            </w:pPr>
                            <w:r w:rsidRPr="00E40F89">
                              <w:rPr>
                                <w:b/>
                                <w:bCs/>
                                <w:sz w:val="18"/>
                                <w:szCs w:val="18"/>
                              </w:rPr>
                              <w:t>A R T I C L E I N F O</w:t>
                            </w:r>
                          </w:p>
                          <w:p w14:paraId="7E820EE7" w14:textId="77777777" w:rsidR="00DF462A" w:rsidRDefault="00DF462A" w:rsidP="0044623E">
                            <w:pPr>
                              <w:spacing w:before="0" w:line="240" w:lineRule="auto"/>
                              <w:rPr>
                                <w:b/>
                                <w:i/>
                                <w:sz w:val="16"/>
                                <w:szCs w:val="18"/>
                              </w:rPr>
                            </w:pPr>
                          </w:p>
                          <w:p w14:paraId="5E82BB63" w14:textId="77777777" w:rsidR="00F97D29" w:rsidRPr="001473F8" w:rsidRDefault="00F97D29" w:rsidP="00BF0659">
                            <w:pPr>
                              <w:spacing w:before="0" w:line="240" w:lineRule="auto"/>
                              <w:ind w:right="-438"/>
                              <w:jc w:val="left"/>
                              <w:rPr>
                                <w:b/>
                                <w:iCs/>
                                <w:sz w:val="16"/>
                                <w:szCs w:val="18"/>
                              </w:rPr>
                            </w:pPr>
                            <w:r w:rsidRPr="001473F8">
                              <w:rPr>
                                <w:b/>
                                <w:iCs/>
                                <w:sz w:val="16"/>
                                <w:szCs w:val="18"/>
                              </w:rPr>
                              <w:t>Article history:</w:t>
                            </w:r>
                          </w:p>
                          <w:p w14:paraId="432ED9A1" w14:textId="7777777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Received: July 01, 2025  </w:t>
                            </w:r>
                          </w:p>
                          <w:p w14:paraId="775FD4F2" w14:textId="7777777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Revised: July 05, 2025  </w:t>
                            </w:r>
                          </w:p>
                          <w:p w14:paraId="3279317D" w14:textId="7777777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Accepted: July 09, 2025  </w:t>
                            </w:r>
                          </w:p>
                          <w:p w14:paraId="1374D3A2" w14:textId="6E6C5FB3" w:rsidR="00F97D29" w:rsidRPr="00E814C2" w:rsidRDefault="002B1B19" w:rsidP="002B1B19">
                            <w:pPr>
                              <w:pBdr>
                                <w:bottom w:val="single" w:sz="8" w:space="1" w:color="auto"/>
                              </w:pBdr>
                              <w:spacing w:before="0" w:line="240" w:lineRule="auto"/>
                              <w:ind w:right="-438"/>
                              <w:jc w:val="left"/>
                              <w:rPr>
                                <w:b/>
                                <w:sz w:val="10"/>
                                <w:szCs w:val="10"/>
                              </w:rPr>
                            </w:pPr>
                            <w:r w:rsidRPr="002B1B19">
                              <w:rPr>
                                <w:sz w:val="16"/>
                                <w:szCs w:val="18"/>
                              </w:rPr>
                              <w:t>Available online: July 11, 2025</w:t>
                            </w:r>
                          </w:p>
                          <w:p w14:paraId="03E79E42" w14:textId="77777777" w:rsidR="00DF462A" w:rsidRPr="00E814C2" w:rsidRDefault="00DF462A" w:rsidP="00BF0659">
                            <w:pPr>
                              <w:spacing w:before="0" w:line="240" w:lineRule="auto"/>
                              <w:ind w:right="-438"/>
                              <w:jc w:val="left"/>
                              <w:rPr>
                                <w:b/>
                                <w:i/>
                                <w:sz w:val="8"/>
                                <w:szCs w:val="8"/>
                              </w:rPr>
                            </w:pPr>
                          </w:p>
                          <w:p w14:paraId="0BDEA6E0" w14:textId="77777777" w:rsidR="00AB7F43" w:rsidRDefault="00AB7F43" w:rsidP="00BF0659">
                            <w:pPr>
                              <w:spacing w:before="0" w:line="240" w:lineRule="auto"/>
                              <w:ind w:right="-438"/>
                              <w:jc w:val="left"/>
                              <w:rPr>
                                <w:b/>
                                <w:i/>
                                <w:sz w:val="16"/>
                                <w:szCs w:val="16"/>
                              </w:rPr>
                            </w:pPr>
                          </w:p>
                          <w:p w14:paraId="67AF0A7D" w14:textId="5BC41175" w:rsidR="00F97D29" w:rsidRPr="00E2648F" w:rsidRDefault="00F97D29" w:rsidP="00BF0659">
                            <w:pPr>
                              <w:spacing w:before="0" w:line="240" w:lineRule="auto"/>
                              <w:ind w:right="-438"/>
                              <w:jc w:val="left"/>
                              <w:rPr>
                                <w:b/>
                                <w:i/>
                                <w:sz w:val="16"/>
                                <w:szCs w:val="16"/>
                              </w:rPr>
                            </w:pPr>
                            <w:r w:rsidRPr="00E2648F">
                              <w:rPr>
                                <w:b/>
                                <w:i/>
                                <w:sz w:val="16"/>
                                <w:szCs w:val="16"/>
                              </w:rPr>
                              <w:t>Kata Kunci:</w:t>
                            </w:r>
                          </w:p>
                          <w:p w14:paraId="4132464F" w14:textId="77777777" w:rsidR="00363D53" w:rsidRPr="006575A1" w:rsidRDefault="00363D53" w:rsidP="00363D53">
                            <w:pPr>
                              <w:spacing w:before="0" w:line="240" w:lineRule="auto"/>
                              <w:ind w:right="-438"/>
                              <w:jc w:val="left"/>
                              <w:rPr>
                                <w:b/>
                                <w:bCs/>
                                <w:color w:val="000000"/>
                                <w:sz w:val="16"/>
                                <w:szCs w:val="16"/>
                                <w:lang w:val="en-US"/>
                              </w:rPr>
                            </w:pPr>
                            <w:r w:rsidRPr="006575A1">
                              <w:rPr>
                                <w:b/>
                                <w:bCs/>
                                <w:color w:val="000000"/>
                                <w:sz w:val="16"/>
                                <w:szCs w:val="16"/>
                                <w:lang w:val="en-US"/>
                              </w:rPr>
                              <w:t>Terdiri dari 3-5 kata</w:t>
                            </w:r>
                          </w:p>
                          <w:p w14:paraId="27E675A3" w14:textId="0BCFFDA1" w:rsidR="0075379E" w:rsidRPr="00363D53" w:rsidRDefault="00D91208" w:rsidP="00363D53">
                            <w:pPr>
                              <w:spacing w:before="0" w:line="240" w:lineRule="auto"/>
                              <w:ind w:right="-438"/>
                              <w:jc w:val="left"/>
                              <w:rPr>
                                <w:color w:val="000000"/>
                                <w:sz w:val="16"/>
                                <w:szCs w:val="16"/>
                                <w:lang w:val="en-US"/>
                              </w:rPr>
                            </w:pPr>
                            <w:r w:rsidRPr="00D91208">
                              <w:rPr>
                                <w:color w:val="000000"/>
                                <w:sz w:val="16"/>
                                <w:szCs w:val="16"/>
                              </w:rPr>
                              <w:t>contextual science learning, natural resources, science concept understanding, elementary education</w:t>
                            </w:r>
                          </w:p>
                          <w:p w14:paraId="3F36A373" w14:textId="77777777" w:rsidR="00363D53" w:rsidRPr="00413162" w:rsidRDefault="00363D53" w:rsidP="00BF0659">
                            <w:pPr>
                              <w:spacing w:before="0" w:line="240" w:lineRule="auto"/>
                              <w:ind w:right="-438"/>
                              <w:jc w:val="left"/>
                              <w:rPr>
                                <w:b/>
                                <w:bCs/>
                                <w:i/>
                                <w:iCs/>
                                <w:color w:val="000000"/>
                                <w:sz w:val="16"/>
                                <w:szCs w:val="16"/>
                                <w:lang w:val="en-US"/>
                              </w:rPr>
                            </w:pPr>
                          </w:p>
                          <w:p w14:paraId="2E294C8B" w14:textId="0656F486" w:rsidR="003E418F" w:rsidRPr="00413162" w:rsidRDefault="003E418F" w:rsidP="00BF0659">
                            <w:pPr>
                              <w:spacing w:before="0" w:line="240" w:lineRule="auto"/>
                              <w:ind w:right="-438"/>
                              <w:jc w:val="left"/>
                              <w:rPr>
                                <w:color w:val="000000"/>
                                <w:sz w:val="16"/>
                                <w:szCs w:val="16"/>
                              </w:rPr>
                            </w:pPr>
                            <w:r w:rsidRPr="00413162">
                              <w:rPr>
                                <w:b/>
                                <w:bCs/>
                                <w:color w:val="000000"/>
                                <w:sz w:val="16"/>
                                <w:szCs w:val="16"/>
                                <w:lang w:val="en"/>
                              </w:rPr>
                              <w:t>DOI:</w:t>
                            </w:r>
                            <w:r w:rsidR="004B1AF3" w:rsidRPr="004B1AF3">
                              <w:t xml:space="preserve"> </w:t>
                            </w:r>
                            <w:r w:rsidR="004B1AF3" w:rsidRPr="00636365">
                              <w:rPr>
                                <w:color w:val="0070C0"/>
                                <w:sz w:val="16"/>
                                <w:szCs w:val="16"/>
                                <w:lang w:val="en"/>
                              </w:rPr>
                              <w:t>https://dx.doi.org/10.23887/</w:t>
                            </w:r>
                            <w:r w:rsidR="00C42CFB">
                              <w:rPr>
                                <w:color w:val="0070C0"/>
                                <w:sz w:val="16"/>
                                <w:szCs w:val="16"/>
                                <w:lang w:val="en"/>
                              </w:rPr>
                              <w:t>.........</w:t>
                            </w:r>
                          </w:p>
                          <w:p w14:paraId="016A3B34" w14:textId="77777777" w:rsidR="00F97D29" w:rsidRPr="00413162" w:rsidRDefault="00F97D29" w:rsidP="00BF0659">
                            <w:pPr>
                              <w:spacing w:before="0" w:line="240" w:lineRule="auto"/>
                              <w:ind w:right="-438"/>
                              <w:jc w:val="left"/>
                              <w:rPr>
                                <w:i/>
                                <w:color w:val="000000"/>
                                <w:sz w:val="16"/>
                                <w:szCs w:val="16"/>
                                <w:lang w:val="id-ID"/>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76ADAF" id="_x0000_t202" coordsize="21600,21600" o:spt="202" path="m,l,21600r21600,l21600,xe">
                <v:stroke joinstyle="miter"/>
                <v:path gradientshapeok="t" o:connecttype="rect"/>
              </v:shapetype>
              <v:shape id="Text Box 1" o:spid="_x0000_s1026" type="#_x0000_t202" style="position:absolute;left:0;text-align:left;margin-left:.45pt;margin-top:11.75pt;width:132.45pt;height:210.3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" stroked="f">
                <v:textbox inset="0,0,10mm,0">
                  <w:txbxContent>
                    <w:p w14:paraId="50AC5692" w14:textId="77777777" w:rsidR="00F97D29" w:rsidRPr="00E40F89" w:rsidRDefault="00F97D29" w:rsidP="0044623E">
                      <w:pPr>
                        <w:pBdr>
                          <w:bottom w:val="single" w:sz="4" w:space="1" w:color="auto"/>
                        </w:pBdr>
                        <w:spacing w:before="0" w:line="240" w:lineRule="auto"/>
                        <w:rPr>
                          <w:b/>
                          <w:bCs/>
                          <w:sz w:val="18"/>
                          <w:szCs w:val="18"/>
                        </w:rPr>
                      </w:pPr>
                      <w:r w:rsidRPr="00E40F89">
                        <w:rPr>
                          <w:b/>
                          <w:bCs/>
                          <w:sz w:val="18"/>
                          <w:szCs w:val="18"/>
                        </w:rPr>
                        <w:t>A R T I C L E I N F O</w:t>
                      </w:r>
                    </w:p>
                    <w:p w14:paraId="7E820EE7" w14:textId="77777777" w:rsidR="00DF462A" w:rsidRDefault="00DF462A" w:rsidP="0044623E">
                      <w:pPr>
                        <w:spacing w:before="0" w:line="240" w:lineRule="auto"/>
                        <w:rPr>
                          <w:b/>
                          <w:i/>
                          <w:sz w:val="16"/>
                          <w:szCs w:val="18"/>
                        </w:rPr>
                      </w:pPr>
                    </w:p>
                    <w:p w14:paraId="5E82BB63" w14:textId="77777777" w:rsidR="00F97D29" w:rsidRPr="001473F8" w:rsidRDefault="00F97D29" w:rsidP="00BF0659">
                      <w:pPr>
                        <w:spacing w:before="0" w:line="240" w:lineRule="auto"/>
                        <w:ind w:right="-438"/>
                        <w:jc w:val="left"/>
                        <w:rPr>
                          <w:b/>
                          <w:iCs/>
                          <w:sz w:val="16"/>
                          <w:szCs w:val="18"/>
                        </w:rPr>
                      </w:pPr>
                      <w:r w:rsidRPr="001473F8">
                        <w:rPr>
                          <w:b/>
                          <w:iCs/>
                          <w:sz w:val="16"/>
                          <w:szCs w:val="18"/>
                        </w:rPr>
                        <w:t>Article history:</w:t>
                      </w:r>
                    </w:p>
                    <w:p w14:paraId="432ED9A1" w14:textId="7777777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Received: July 01, 2025  </w:t>
                      </w:r>
                    </w:p>
                    <w:p w14:paraId="775FD4F2" w14:textId="7777777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Revised: July 05, 2025  </w:t>
                      </w:r>
                    </w:p>
                    <w:p w14:paraId="3279317D" w14:textId="77777777" w:rsidR="002B1B19" w:rsidRPr="002B1B19" w:rsidRDefault="002B1B19" w:rsidP="002B1B19">
                      <w:pPr>
                        <w:pBdr>
                          <w:bottom w:val="single" w:sz="8" w:space="1" w:color="auto"/>
                        </w:pBdr>
                        <w:spacing w:before="0" w:line="240" w:lineRule="auto"/>
                        <w:ind w:right="-438"/>
                        <w:jc w:val="left"/>
                        <w:rPr>
                          <w:sz w:val="16"/>
                          <w:szCs w:val="18"/>
                        </w:rPr>
                      </w:pPr>
                      <w:r w:rsidRPr="002B1B19">
                        <w:rPr>
                          <w:sz w:val="16"/>
                          <w:szCs w:val="18"/>
                        </w:rPr>
                        <w:t xml:space="preserve">Accepted: July 09, 2025  </w:t>
                      </w:r>
                    </w:p>
                    <w:p w14:paraId="1374D3A2" w14:textId="6E6C5FB3" w:rsidR="00F97D29" w:rsidRPr="00E814C2" w:rsidRDefault="002B1B19" w:rsidP="002B1B19">
                      <w:pPr>
                        <w:pBdr>
                          <w:bottom w:val="single" w:sz="8" w:space="1" w:color="auto"/>
                        </w:pBdr>
                        <w:spacing w:before="0" w:line="240" w:lineRule="auto"/>
                        <w:ind w:right="-438"/>
                        <w:jc w:val="left"/>
                        <w:rPr>
                          <w:b/>
                          <w:sz w:val="10"/>
                          <w:szCs w:val="10"/>
                        </w:rPr>
                      </w:pPr>
                      <w:r w:rsidRPr="002B1B19">
                        <w:rPr>
                          <w:sz w:val="16"/>
                          <w:szCs w:val="18"/>
                        </w:rPr>
                        <w:t>Available online: July 11, 2025</w:t>
                      </w:r>
                    </w:p>
                    <w:p w14:paraId="03E79E42" w14:textId="77777777" w:rsidR="00DF462A" w:rsidRPr="00E814C2" w:rsidRDefault="00DF462A" w:rsidP="00BF0659">
                      <w:pPr>
                        <w:spacing w:before="0" w:line="240" w:lineRule="auto"/>
                        <w:ind w:right="-438"/>
                        <w:jc w:val="left"/>
                        <w:rPr>
                          <w:b/>
                          <w:i/>
                          <w:sz w:val="8"/>
                          <w:szCs w:val="8"/>
                        </w:rPr>
                      </w:pPr>
                    </w:p>
                    <w:p w14:paraId="0BDEA6E0" w14:textId="77777777" w:rsidR="00AB7F43" w:rsidRDefault="00AB7F43" w:rsidP="00BF0659">
                      <w:pPr>
                        <w:spacing w:before="0" w:line="240" w:lineRule="auto"/>
                        <w:ind w:right="-438"/>
                        <w:jc w:val="left"/>
                        <w:rPr>
                          <w:b/>
                          <w:i/>
                          <w:sz w:val="16"/>
                          <w:szCs w:val="16"/>
                        </w:rPr>
                      </w:pPr>
                    </w:p>
                    <w:p w14:paraId="67AF0A7D" w14:textId="5BC41175" w:rsidR="00F97D29" w:rsidRPr="00E2648F" w:rsidRDefault="00F97D29" w:rsidP="00BF0659">
                      <w:pPr>
                        <w:spacing w:before="0" w:line="240" w:lineRule="auto"/>
                        <w:ind w:right="-438"/>
                        <w:jc w:val="left"/>
                        <w:rPr>
                          <w:b/>
                          <w:i/>
                          <w:sz w:val="16"/>
                          <w:szCs w:val="16"/>
                        </w:rPr>
                      </w:pPr>
                      <w:r w:rsidRPr="00E2648F">
                        <w:rPr>
                          <w:b/>
                          <w:i/>
                          <w:sz w:val="16"/>
                          <w:szCs w:val="16"/>
                        </w:rPr>
                        <w:t>Kata Kunci:</w:t>
                      </w:r>
                    </w:p>
                    <w:p w14:paraId="4132464F" w14:textId="77777777" w:rsidR="00363D53" w:rsidRPr="006575A1" w:rsidRDefault="00363D53" w:rsidP="00363D53">
                      <w:pPr>
                        <w:spacing w:before="0" w:line="240" w:lineRule="auto"/>
                        <w:ind w:right="-438"/>
                        <w:jc w:val="left"/>
                        <w:rPr>
                          <w:b/>
                          <w:bCs/>
                          <w:color w:val="000000"/>
                          <w:sz w:val="16"/>
                          <w:szCs w:val="16"/>
                          <w:lang w:val="en-US"/>
                        </w:rPr>
                      </w:pPr>
                      <w:r w:rsidRPr="006575A1">
                        <w:rPr>
                          <w:b/>
                          <w:bCs/>
                          <w:color w:val="000000"/>
                          <w:sz w:val="16"/>
                          <w:szCs w:val="16"/>
                          <w:lang w:val="en-US"/>
                        </w:rPr>
                        <w:t>Terdiri dari 3-5 kata</w:t>
                      </w:r>
                    </w:p>
                    <w:p w14:paraId="27E675A3" w14:textId="0BCFFDA1" w:rsidR="0075379E" w:rsidRPr="00363D53" w:rsidRDefault="00D91208" w:rsidP="00363D53">
                      <w:pPr>
                        <w:spacing w:before="0" w:line="240" w:lineRule="auto"/>
                        <w:ind w:right="-438"/>
                        <w:jc w:val="left"/>
                        <w:rPr>
                          <w:color w:val="000000"/>
                          <w:sz w:val="16"/>
                          <w:szCs w:val="16"/>
                          <w:lang w:val="en-US"/>
                        </w:rPr>
                      </w:pPr>
                      <w:r w:rsidRPr="00D91208">
                        <w:rPr>
                          <w:color w:val="000000"/>
                          <w:sz w:val="16"/>
                          <w:szCs w:val="16"/>
                        </w:rPr>
                        <w:t>contextual science learning, natural resources, science concept understanding, elementary education</w:t>
                      </w:r>
                    </w:p>
                    <w:p w14:paraId="3F36A373" w14:textId="77777777" w:rsidR="00363D53" w:rsidRPr="00413162" w:rsidRDefault="00363D53" w:rsidP="00BF0659">
                      <w:pPr>
                        <w:spacing w:before="0" w:line="240" w:lineRule="auto"/>
                        <w:ind w:right="-438"/>
                        <w:jc w:val="left"/>
                        <w:rPr>
                          <w:b/>
                          <w:bCs/>
                          <w:i/>
                          <w:iCs/>
                          <w:color w:val="000000"/>
                          <w:sz w:val="16"/>
                          <w:szCs w:val="16"/>
                          <w:lang w:val="en-US"/>
                        </w:rPr>
                      </w:pPr>
                    </w:p>
                    <w:p w14:paraId="2E294C8B" w14:textId="0656F486" w:rsidR="003E418F" w:rsidRPr="00413162" w:rsidRDefault="003E418F" w:rsidP="00BF0659">
                      <w:pPr>
                        <w:spacing w:before="0" w:line="240" w:lineRule="auto"/>
                        <w:ind w:right="-438"/>
                        <w:jc w:val="left"/>
                        <w:rPr>
                          <w:color w:val="000000"/>
                          <w:sz w:val="16"/>
                          <w:szCs w:val="16"/>
                        </w:rPr>
                      </w:pPr>
                      <w:r w:rsidRPr="00413162">
                        <w:rPr>
                          <w:b/>
                          <w:bCs/>
                          <w:color w:val="000000"/>
                          <w:sz w:val="16"/>
                          <w:szCs w:val="16"/>
                          <w:lang w:val="en"/>
                        </w:rPr>
                        <w:t>DOI:</w:t>
                      </w:r>
                      <w:r w:rsidR="004B1AF3" w:rsidRPr="004B1AF3">
                        <w:t xml:space="preserve"> </w:t>
                      </w:r>
                      <w:r w:rsidR="004B1AF3" w:rsidRPr="00636365">
                        <w:rPr>
                          <w:color w:val="0070C0"/>
                          <w:sz w:val="16"/>
                          <w:szCs w:val="16"/>
                          <w:lang w:val="en"/>
                        </w:rPr>
                        <w:t>https://dx.doi.org/10.23887/</w:t>
                      </w:r>
                      <w:r w:rsidR="00C42CFB">
                        <w:rPr>
                          <w:color w:val="0070C0"/>
                          <w:sz w:val="16"/>
                          <w:szCs w:val="16"/>
                          <w:lang w:val="en"/>
                        </w:rPr>
                        <w:t>.........</w:t>
                      </w:r>
                    </w:p>
                    <w:p w14:paraId="016A3B34" w14:textId="77777777" w:rsidR="00F97D29" w:rsidRPr="00413162" w:rsidRDefault="00F97D29" w:rsidP="00BF0659">
                      <w:pPr>
                        <w:spacing w:before="0" w:line="240" w:lineRule="auto"/>
                        <w:ind w:right="-438"/>
                        <w:jc w:val="left"/>
                        <w:rPr>
                          <w:i/>
                          <w:color w:val="000000"/>
                          <w:sz w:val="16"/>
                          <w:szCs w:val="16"/>
                          <w:lang w:val="id-ID"/>
                        </w:rPr>
                      </w:pPr>
                    </w:p>
                  </w:txbxContent>
                </v:textbox>
                <w10:wrap type="square"/>
              </v:shape>
            </w:pict>
          </mc:Fallback>
        </mc:AlternateContent>
      </w:r>
      <w:r w:rsidR="007D4F09" w:rsidRPr="00670F76">
        <w:rPr>
          <w:b/>
          <w:sz w:val="18"/>
          <w:szCs w:val="18"/>
        </w:rPr>
        <w:t xml:space="preserve">A B S T R A </w:t>
      </w:r>
      <w:r w:rsidR="00A011C4">
        <w:rPr>
          <w:b/>
          <w:sz w:val="18"/>
          <w:szCs w:val="18"/>
        </w:rPr>
        <w:t>K</w:t>
      </w:r>
    </w:p>
    <w:p w14:paraId="06D738DF" w14:textId="0047DE58" w:rsidR="00CD1478" w:rsidRPr="001F6F9D" w:rsidRDefault="00D91208" w:rsidP="00342E8F">
      <w:pPr>
        <w:spacing w:before="0" w:line="240" w:lineRule="auto"/>
        <w:ind w:right="-2"/>
        <w:contextualSpacing/>
        <w:rPr>
          <w:i/>
          <w:sz w:val="18"/>
          <w:szCs w:val="18"/>
        </w:rPr>
      </w:pPr>
      <w:r w:rsidRPr="00D91208">
        <w:rPr>
          <w:iCs/>
          <w:sz w:val="18"/>
          <w:szCs w:val="18"/>
          <w:lang w:val="id-ID"/>
        </w:rPr>
        <w:t>This study investigated the implementation of contextual science learning using surrounding natural resources to enhance the understanding of science concepts among fifth-grade students. The research was conducted at SDN Parang 1 and SDN Unggulan in Magetan Regency, Indonesia, where the learning process integrated local environmental potentials such as school gardens, nearby forests, and water sources. A qualitative descriptive method was employed, involving classroom observations, interviews with teachers and students, and document analysis to collect comprehensive data. The findings revealed that the use of local natural resources provided meaningful learning experiences that strengthened students’ conceptual understanding of science. The contextual approach successfully linked scientific concepts to real-life situations, encouraged active participation, and increased students’ motivation to learn. Teachers were able to facilitate inquiry-based activities, allowing students to explore and construct knowledge through direct interaction with their environment. The study concludes that contextual science learning based on local natural resources is effective in improving both conceptual mastery and engagement in science education. These results highlight the importance of integrating local potentials into curriculum design to create relevant and sustainable learning experiences that support science literacy at the elementary school level.</w:t>
      </w:r>
    </w:p>
    <w:p w14:paraId="4DAFBC98" w14:textId="77777777" w:rsidR="00740FCF" w:rsidRPr="007368F1" w:rsidRDefault="00740FCF" w:rsidP="00740FCF">
      <w:pPr>
        <w:pBdr>
          <w:top w:val="single" w:sz="4" w:space="1" w:color="auto"/>
        </w:pBdr>
        <w:spacing w:before="0" w:after="120" w:line="240" w:lineRule="auto"/>
        <w:rPr>
          <w:i/>
          <w:sz w:val="18"/>
          <w:szCs w:val="18"/>
          <w:lang w:val="en-US" w:eastAsia="en-US"/>
        </w:rPr>
      </w:pPr>
    </w:p>
    <w:tbl>
      <w:tblPr>
        <w:tblW w:w="0" w:type="auto"/>
        <w:tblBorders>
          <w:top w:val="single" w:sz="4" w:space="0" w:color="auto"/>
        </w:tblBorders>
        <w:tblLayout w:type="fixed"/>
        <w:tblLook w:val="04A0" w:firstRow="1" w:lastRow="0" w:firstColumn="1" w:lastColumn="0" w:noHBand="0" w:noVBand="1"/>
      </w:tblPr>
      <w:tblGrid>
        <w:gridCol w:w="7218"/>
        <w:gridCol w:w="1980"/>
      </w:tblGrid>
      <w:tr w:rsidR="00E40F89" w:rsidRPr="001F6F9D" w14:paraId="1C6E4F86" w14:textId="77777777" w:rsidTr="00413162">
        <w:trPr>
          <w:trHeight w:val="315"/>
        </w:trPr>
        <w:tc>
          <w:tcPr>
            <w:tcW w:w="7218" w:type="dxa"/>
            <w:vAlign w:val="center"/>
          </w:tcPr>
          <w:p w14:paraId="4E883E4F" w14:textId="5E9B8633" w:rsidR="003477E0" w:rsidRPr="002677F3" w:rsidRDefault="002677F3" w:rsidP="003477E0">
            <w:pPr>
              <w:spacing w:before="40" w:after="40" w:line="240" w:lineRule="auto"/>
              <w:jc w:val="right"/>
              <w:rPr>
                <w:rFonts w:eastAsia="Calibri"/>
                <w:i/>
                <w:sz w:val="16"/>
                <w:szCs w:val="16"/>
              </w:rPr>
            </w:pPr>
            <w:r w:rsidRPr="002677F3">
              <w:rPr>
                <w:rStyle w:val="Strong"/>
                <w:sz w:val="16"/>
                <w:szCs w:val="16"/>
              </w:rPr>
              <w:t xml:space="preserve">This is an open access article distributed under the terms of the </w:t>
            </w:r>
            <w:hyperlink r:id="rId11" w:history="1">
              <w:r w:rsidRPr="00D52EF3">
                <w:rPr>
                  <w:rStyle w:val="Hyperlink"/>
                  <w:sz w:val="16"/>
                  <w:szCs w:val="16"/>
                </w:rPr>
                <w:t>Creative Commons Attribution-ShareAlike 4.0 International License (CC BY-SA 4.0).</w:t>
              </w:r>
            </w:hyperlink>
            <w:r w:rsidRPr="002677F3">
              <w:rPr>
                <w:sz w:val="16"/>
                <w:szCs w:val="16"/>
              </w:rPr>
              <w:br/>
              <w:t>Copyright © 2025 by the author(s).</w:t>
            </w:r>
            <w:r w:rsidRPr="002677F3">
              <w:rPr>
                <w:sz w:val="16"/>
                <w:szCs w:val="16"/>
              </w:rPr>
              <w:br/>
              <w:t xml:space="preserve">Published by </w:t>
            </w:r>
            <w:r w:rsidRPr="002677F3">
              <w:rPr>
                <w:rStyle w:val="Strong"/>
                <w:sz w:val="16"/>
                <w:szCs w:val="16"/>
              </w:rPr>
              <w:t>PT Literana Inovasi Digital</w:t>
            </w:r>
            <w:r w:rsidRPr="002677F3">
              <w:rPr>
                <w:sz w:val="16"/>
                <w:szCs w:val="16"/>
              </w:rPr>
              <w:t xml:space="preserve"> </w:t>
            </w:r>
          </w:p>
        </w:tc>
        <w:tc>
          <w:tcPr>
            <w:tcW w:w="1980" w:type="dxa"/>
            <w:vAlign w:val="center"/>
          </w:tcPr>
          <w:p w14:paraId="5BCB2C46" w14:textId="3259538C" w:rsidR="00E40F89" w:rsidRPr="001F6F9D" w:rsidRDefault="00E4345E" w:rsidP="00413162">
            <w:pPr>
              <w:spacing w:before="40" w:after="40"/>
              <w:ind w:left="8221" w:hanging="8204"/>
              <w:jc w:val="right"/>
              <w:rPr>
                <w:rFonts w:eastAsia="Calibri"/>
                <w:szCs w:val="22"/>
              </w:rPr>
            </w:pPr>
            <w:r w:rsidRPr="001F6F9D">
              <w:rPr>
                <w:rFonts w:eastAsia="Calibri"/>
                <w:noProof/>
                <w:szCs w:val="22"/>
                <w:lang w:val="en-US" w:eastAsia="en-US"/>
              </w:rPr>
              <w:drawing>
                <wp:inline distT="0" distB="0" distL="0" distR="0" wp14:anchorId="3FF1D1BD" wp14:editId="02DF7823">
                  <wp:extent cx="1057275" cy="36576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365760"/>
                          </a:xfrm>
                          <a:prstGeom prst="rect">
                            <a:avLst/>
                          </a:prstGeom>
                          <a:noFill/>
                          <a:ln>
                            <a:noFill/>
                          </a:ln>
                        </pic:spPr>
                      </pic:pic>
                    </a:graphicData>
                  </a:graphic>
                </wp:inline>
              </w:drawing>
            </w:r>
          </w:p>
        </w:tc>
      </w:tr>
    </w:tbl>
    <w:p w14:paraId="22B2C340" w14:textId="77777777" w:rsidR="001F6F9D" w:rsidRDefault="001F6F9D" w:rsidP="00265DA2">
      <w:pPr>
        <w:pBdr>
          <w:top w:val="single" w:sz="4" w:space="0" w:color="auto"/>
        </w:pBdr>
        <w:spacing w:before="0"/>
      </w:pPr>
    </w:p>
    <w:p w14:paraId="486846CF" w14:textId="77777777" w:rsidR="003E11B2" w:rsidRPr="001F6F9D" w:rsidRDefault="003E11B2" w:rsidP="00265DA2">
      <w:pPr>
        <w:pBdr>
          <w:top w:val="single" w:sz="4" w:space="0" w:color="auto"/>
        </w:pBdr>
        <w:spacing w:before="0"/>
      </w:pPr>
    </w:p>
    <w:p w14:paraId="0BA83085" w14:textId="56570291" w:rsidR="00363D53" w:rsidRPr="001F6F9D" w:rsidRDefault="0036384D" w:rsidP="006D3290">
      <w:pPr>
        <w:pStyle w:val="Heading1"/>
        <w:numPr>
          <w:ilvl w:val="0"/>
          <w:numId w:val="35"/>
        </w:numPr>
        <w:spacing w:before="120" w:after="120" w:line="240" w:lineRule="auto"/>
        <w:ind w:left="360"/>
        <w:jc w:val="left"/>
        <w:rPr>
          <w:caps w:val="0"/>
          <w:color w:val="000000"/>
        </w:rPr>
      </w:pPr>
      <w:r>
        <w:rPr>
          <w:caps w:val="0"/>
          <w:color w:val="000000"/>
        </w:rPr>
        <w:t>PENDAHULUAN</w:t>
      </w:r>
    </w:p>
    <w:p w14:paraId="61709A81" w14:textId="4A7EB4BF" w:rsidR="00BE151D" w:rsidRPr="00BE151D" w:rsidRDefault="00BE151D" w:rsidP="00BE151D">
      <w:pPr>
        <w:spacing w:before="0"/>
        <w:ind w:firstLine="709"/>
        <w:rPr>
          <w:sz w:val="20"/>
        </w:rPr>
      </w:pPr>
      <w:r w:rsidRPr="00BE151D">
        <w:rPr>
          <w:sz w:val="20"/>
        </w:rPr>
        <w:t>Pendidikan Ilmu Pengetahuan Alam (IPA) di Sekolah Dasar (SD) memiliki peran strategis dalam menumbuhkan kemampuan berpikir ilmiah, rasa ingin tahu, sikap kritis, dan keterampilan pemecahan masalah sejak dini. Pembelajaran IPA tidak hanya ditujukan untuk menguasai kumpulan fakta dan konsep, tetapi juga untuk membentuk cara berpikir ilmiah yang memungkinkan peserta didik memahami fenomena alam secara rasional dan sistematis (Suryanti &amp; Budiarti, 2022; Widiyastuti et al., 2023). Melalui pembelajaran IPA, siswa didorong untuk mengamati, menanya, mencoba, menalar, dan mengomunikasikan hasil pengamatan sehingga mereka dapat membangun pengetahuan secara konstruktif berdasarkan pengalaman nyata (Rahmawati et al., 2021; Dewi &amp; Yuliani, 2022). Oleh karena itu, IPA di SD seharusnya tidak hanya menekankan pada hafalan konsep, tetapi juga memberikan pengalaman belajar yang autentik agar siswa mampu menghubungkan materi dengan fenomena yang terjadi di sekitarnya (Setiawan et al., 2023; Ningsih et al., 2024).</w:t>
      </w:r>
    </w:p>
    <w:p w14:paraId="10BB3706" w14:textId="2FD092AF" w:rsidR="00BE151D" w:rsidRPr="00BE151D" w:rsidRDefault="00BE151D" w:rsidP="00BE151D">
      <w:pPr>
        <w:spacing w:before="0"/>
        <w:ind w:firstLine="709"/>
        <w:rPr>
          <w:sz w:val="20"/>
        </w:rPr>
      </w:pPr>
      <w:r w:rsidRPr="00BE151D">
        <w:rPr>
          <w:sz w:val="20"/>
        </w:rPr>
        <w:t xml:space="preserve">Namun, praktik pembelajaran IPA di lapangan masih menunjukkan dominasi metode ceramah yang bersifat satu arah dan menempatkan siswa sebagai penerima informasi pasif (Sutrisno et al., 2022; Rahmawati et al., 2021). Model pembelajaran seperti ini cenderung membuat konsep-konsep IPA terasa abstrak dan sulit </w:t>
      </w:r>
      <w:r w:rsidRPr="00BE151D">
        <w:rPr>
          <w:sz w:val="20"/>
        </w:rPr>
        <w:lastRenderedPageBreak/>
        <w:t>dipahami, sehingga siswa kesulitan menerapkan pengetahuan dalam konteks kehidupan sehari-hari (Putri &amp; Hidayat, 2023; Prasetyo et al., 2024). Hasil penelitian terbaru juga mengungkapkan bahwa sebagian besar guru SD masih mengandalkan buku teks dan media sederhana tanpa mengintegrasikan sumber belajar yang lebih kontekstual, seperti lingkungan alam sekitar, yang sebenarnya dapat memperkaya pengalaman belajar siswa (Fitriani et al., 2023; Sari &amp; Nugraha, 2024). Kondisi ini berpotensi menurunkan minat dan motivasi belajar siswa, karena pembelajaran terasa monoton dan tidak menantang rasa ingin tahu mereka (Rahayu &amp; Santosa, 2022; Wulandari et al., 2023).</w:t>
      </w:r>
    </w:p>
    <w:p w14:paraId="1A8AE210" w14:textId="4EC525A8" w:rsidR="00BE151D" w:rsidRPr="00BE151D" w:rsidRDefault="00BE151D" w:rsidP="00BE151D">
      <w:pPr>
        <w:spacing w:before="0"/>
        <w:ind w:firstLine="709"/>
        <w:rPr>
          <w:sz w:val="20"/>
        </w:rPr>
      </w:pPr>
      <w:r w:rsidRPr="00BE151D">
        <w:rPr>
          <w:sz w:val="20"/>
        </w:rPr>
        <w:t>  </w:t>
      </w:r>
      <w:r w:rsidRPr="00BE151D">
        <w:t xml:space="preserve"> </w:t>
      </w:r>
      <w:r w:rsidRPr="00BE151D">
        <w:rPr>
          <w:sz w:val="20"/>
        </w:rPr>
        <w:t xml:space="preserve">Kesulitan pemahaman konsep IPA pada siswa sekolah dasar banyak disebabkan oleh rendahnya keterlibatan aktif mereka dalam proses pembelajaran. Rendahnya partisipasi ini terjadi karena sebagian guru masih menerapkan pendekatan pembelajaran yang berpusat pada guru </w:t>
      </w:r>
      <w:r w:rsidRPr="00BE151D">
        <w:rPr>
          <w:i/>
          <w:iCs/>
          <w:sz w:val="20"/>
        </w:rPr>
        <w:t>(teacher-centered)</w:t>
      </w:r>
      <w:r w:rsidRPr="00BE151D">
        <w:rPr>
          <w:sz w:val="20"/>
        </w:rPr>
        <w:t>, sehingga siswa hanya berperan sebagai penerima informasi tanpa kesempatan yang memadai untuk mengeksplorasi dan menemukan konsep sendiri (Hidayat &amp; Zulfa, 2022; Puspitasari et al., 2023). Padahal, menurut teori konstruktivisme, pemahaman konsep akan terbentuk secara optimal ketika peserta didik dilibatkan dalam kegiatan eksplorasi, observasi, dan diskusi yang memungkinkan mereka mengonstruksi pengetahuan berdasarkan pengalaman nyata (Piaget dalam Suryanti &amp; Budiarti, 2022; Triana et al., 2023). Ketika proses belajar hanya berlangsung secara verbal melalui ceramah atau hafalan, siswa cenderung mengalami kesulitan dalam membangun keterkaitan antara konsep ilmiah dengan fenomena alam yang mereka temui sehari-hari (Prasetyo et al., 2024; Widiyastuti et al., 2023).</w:t>
      </w:r>
    </w:p>
    <w:p w14:paraId="7EF2D31A" w14:textId="77777777" w:rsidR="00BE151D" w:rsidRDefault="00BE151D" w:rsidP="00BE151D">
      <w:pPr>
        <w:spacing w:before="0"/>
        <w:ind w:firstLine="709"/>
        <w:rPr>
          <w:sz w:val="20"/>
        </w:rPr>
      </w:pPr>
      <w:r w:rsidRPr="00BE151D">
        <w:rPr>
          <w:sz w:val="20"/>
        </w:rPr>
        <w:t>Selain itu, guru seringkali belum memanfaatkan lingkungan sekitar sebagai sumber belajar yang kaya akan fenomena ilmiah. Padahal, pemanfaatan lingkungan alam, seperti taman sekolah, kebun, sungai, atau halaman rumah, dapat menjadi laboratorium terbuka yang memfasilitasi siswa untuk melakukan pengamatan langsung, melakukan percobaan sederhana, dan menemukan fakta ilmiah secara kontekstual (Hidayat &amp; Zulfa, 2022; Puspitasari et al., 2023; Ningsih et al., 2024). Minimnya integrasi lingkungan dalam pembelajaran membuat siswa kesulitan mengaitkan teori yang dipelajari di kelas dengan realitas yang mereka alami, sehingga konsep sains tetap bersifat abstrak dan kurang bermakna (Fitriani et al., 2023; Setiawan et al., 2023).</w:t>
      </w:r>
    </w:p>
    <w:p w14:paraId="31A95BEB" w14:textId="77777777" w:rsidR="00BE151D" w:rsidRDefault="00BE151D" w:rsidP="00BE151D">
      <w:pPr>
        <w:spacing w:before="0"/>
        <w:ind w:firstLine="709"/>
        <w:rPr>
          <w:sz w:val="20"/>
        </w:rPr>
      </w:pPr>
      <w:r w:rsidRPr="00BE151D">
        <w:rPr>
          <w:sz w:val="20"/>
        </w:rPr>
        <w:t>Kondisi tersebut berdampak pada rendahnya literasi sains dan kemampuan berpikir kritis siswa. Literasi sains mencakup pemahaman konsep, kemampuan mengidentifikasi masalah ilmiah, serta keterampilan menggunakan bukti ilmiah dalam pengambilan keputusan (OECD, 2019; Yuliani &amp; Wahyuni, 2021). Rendahnya literasi sains mengakibatkan siswa kurang mampu menilai informasi ilmiah secara rasional, sedangkan keterampilan berpikir kritis yang lemah membuat mereka sulit menganalisis, mengevaluasi, dan memecahkan masalah berbasis data (Rahayu &amp; Santosa, 2022; Wulandari et al., 2023). Hasil survei Programme for International Student Assessment (PISA) juga menunjukkan bahwa kemampuan sains siswa Indonesia masih berada di bawah rata-rata negara OECD, salah satunya disebabkan oleh pembelajaran yang belum menekankan pada proses ilmiah dan pemecahan masalah kontekstual (OECD, 2023; Prasetyo et al., 2024). Oleh karena itu, diperlukan inovasi dalam pembelajaran IPA yang mendorong keterlibatan aktif siswa melalui pemanfaatan potensi lokal dan lingkungan sekitar sebagai sumber belajar autentik untuk meningkatkan literasi sains dan keterampilan berpikir kritis mereka (Widiyastuti et al., 2023; Ningsih et al., 2024).</w:t>
      </w:r>
    </w:p>
    <w:p w14:paraId="464FAE45" w14:textId="77777777" w:rsidR="00BE151D" w:rsidRDefault="00BE151D" w:rsidP="00BE151D">
      <w:pPr>
        <w:spacing w:before="0"/>
        <w:ind w:firstLine="709"/>
        <w:rPr>
          <w:sz w:val="20"/>
        </w:rPr>
      </w:pPr>
      <w:r w:rsidRPr="00BE151D">
        <w:rPr>
          <w:sz w:val="20"/>
        </w:rPr>
        <w:t xml:space="preserve">Pendekatan </w:t>
      </w:r>
      <w:r w:rsidRPr="00BE151D">
        <w:rPr>
          <w:i/>
          <w:iCs/>
          <w:sz w:val="20"/>
        </w:rPr>
        <w:t>Contextual Teaching and Learning</w:t>
      </w:r>
      <w:r w:rsidRPr="00BE151D">
        <w:rPr>
          <w:sz w:val="20"/>
        </w:rPr>
        <w:t xml:space="preserve"> (CTL) menjadi salah satu alternatif untuk mengatasi masalah tersebut. CTL menekankan keterkaitan antara materi pelajaran dengan konteks kehidupan sehari-hari siswa sehingga pembelajaran lebih bermakna (Johnson, 2017; Sari &amp; Nurdin, 2021). Dengan memanfaatkan lingkungan sekitar, siswa dapat memperoleh pengalaman langsung yang mendukung pemahaman konsep secara mendalam (Prasetyo et al., 2022; Lestari et al., 2023).</w:t>
      </w:r>
    </w:p>
    <w:p w14:paraId="03914F65" w14:textId="77777777" w:rsidR="00B2716C" w:rsidRDefault="00BE151D" w:rsidP="00B2716C">
      <w:pPr>
        <w:spacing w:before="0"/>
        <w:ind w:firstLine="709"/>
        <w:rPr>
          <w:sz w:val="20"/>
        </w:rPr>
      </w:pPr>
      <w:r w:rsidRPr="00BE151D">
        <w:rPr>
          <w:sz w:val="20"/>
        </w:rPr>
        <w:t>Sumber daya alam sekitar seperti kebun sekolah, taman kota, sungai, dan hutan kecil dapat dijadikan media belajar yang efektif. Observasi langsung terhadap tumbuhan, hewan, atau fenomena alam memudahkan siswa dalam mengkonstruksi pengetahuan melalui proses ilmiah (Fitriyani et al., 2021; Nugroho et al., 2023). Aktivitas tersebut juga menumbuhkan sikap peduli lingkungan yang sejalan dengan tujuan pendidikan berkelanjutan (Hasanah et al., 2022).</w:t>
      </w:r>
    </w:p>
    <w:p w14:paraId="481AC87D" w14:textId="77777777" w:rsidR="00B2716C" w:rsidRDefault="00B2716C" w:rsidP="00B2716C">
      <w:pPr>
        <w:spacing w:before="0"/>
        <w:ind w:firstLine="709"/>
        <w:rPr>
          <w:sz w:val="20"/>
        </w:rPr>
      </w:pPr>
      <w:r w:rsidRPr="00B2716C">
        <w:rPr>
          <w:sz w:val="20"/>
          <w:lang w:val="en-ID"/>
        </w:rPr>
        <w:t xml:space="preserve">Penelitian sebelumnya menunjukkan bahwa implementasi </w:t>
      </w:r>
      <w:r w:rsidRPr="00B2716C">
        <w:rPr>
          <w:i/>
          <w:iCs/>
          <w:sz w:val="20"/>
          <w:lang w:val="en-ID"/>
        </w:rPr>
        <w:t>Contextual Teaching and Learning (CTL)</w:t>
      </w:r>
      <w:r w:rsidRPr="00B2716C">
        <w:rPr>
          <w:sz w:val="20"/>
          <w:lang w:val="en-ID"/>
        </w:rPr>
        <w:t xml:space="preserve"> berbasis lingkungan terbukti efektif dalam meningkatkan hasil belajar IPA siswa sekolah dasar. CTL merupakan pendekatan pembelajaran yang menekankan keterkaitan antara materi pelajaran dengan situasi dunia nyata, sehingga siswa dapat membangun makna dan pemahaman melalui pengalaman langsung (Johnson, 2014; Suryanti &amp; Budiarti, 2022). Sejumlah studi membuktikan bahwa penerapan CTL berbasis lingkungan mampu menciptakan proses pembelajaran yang lebih aktif, kolaboratif, dan bermakna bagi peserta didik (Putri et al., 2022; Widodo &amp; Sari, 2023). Misalnya, penggunaan model pembelajaran kontekstual pada materi sumber daya alam terbukti </w:t>
      </w:r>
      <w:r w:rsidRPr="00B2716C">
        <w:rPr>
          <w:sz w:val="20"/>
          <w:lang w:val="en-ID"/>
        </w:rPr>
        <w:lastRenderedPageBreak/>
        <w:t>meningkatkan pemahaman konsep secara signifikan dibandingkan metode konvensional yang hanya berfokus pada ceramah (Pranata et al., 2021; Marlina et al., 2023). Siswa tidak hanya memperoleh pengetahuan teoretis, tetapi juga terlibat dalam kegiatan observasi, eksplorasi, dan diskusi yang relevan dengan lingkungan sekitar, sehingga konsep sains menjadi lebih konkret dan mudah dipahami (Fitriani et al., 2023; Setiawan et al., 2023).</w:t>
      </w:r>
    </w:p>
    <w:p w14:paraId="1F1AD9B3" w14:textId="77777777" w:rsidR="00B2716C" w:rsidRDefault="00B2716C" w:rsidP="00B2716C">
      <w:pPr>
        <w:spacing w:before="0"/>
        <w:ind w:firstLine="709"/>
        <w:rPr>
          <w:sz w:val="20"/>
        </w:rPr>
      </w:pPr>
      <w:r w:rsidRPr="00B2716C">
        <w:rPr>
          <w:sz w:val="20"/>
          <w:lang w:val="en-ID"/>
        </w:rPr>
        <w:t>Hasil penelitian lainnya juga menunjukkan bahwa penerapan CTL berbasis lingkungan dapat meningkatkan keterampilan proses sains seperti mengamati, mengklasifikasi, mengukur, dan menarik kesimpulan (Marlina et al., 2023; Ningsih et al., 2024). Kegiatan pembelajaran yang memanfaatkan potensi alam, seperti kebun sekolah, taman kota, atau area konservasi, mendorong siswa untuk berpikir kritis, memecahkan masalah, dan mengaitkan konsep IPA dengan fenomena nyata di sekitarnya (Widodo &amp; Sari, 2023; Prasetyo et al., 2024). Selain itu, keterlibatan langsung siswa dalam aktivitas lingkungan juga terbukti meningkatkan motivasi belajar, rasa ingin tahu, dan sikap peduli terhadap alam (Rahmawati et al., 2021; Rahayu &amp; Santosa, 2022). Temuan ini sejalan dengan teori konstruktivisme yang menyatakan bahwa pengetahuan dibangun melalui pengalaman autentik yang menuntut keterlibatan aktif siswa dalam proses pembelajaran (Piaget dalam Triana et al., 2023; Dewi &amp; Yuliani, 2022).</w:t>
      </w:r>
    </w:p>
    <w:p w14:paraId="1B1F0705" w14:textId="34F4CE7A" w:rsidR="00B2716C" w:rsidRPr="00B2716C" w:rsidRDefault="00B2716C" w:rsidP="00B2716C">
      <w:pPr>
        <w:spacing w:before="0"/>
        <w:ind w:firstLine="709"/>
        <w:rPr>
          <w:sz w:val="20"/>
        </w:rPr>
      </w:pPr>
      <w:r w:rsidRPr="00B2716C">
        <w:rPr>
          <w:sz w:val="20"/>
          <w:lang w:val="en-ID"/>
        </w:rPr>
        <w:t>Lebih jauh, penelitian terbaru menegaskan bahwa model CTL tidak hanya berdampak positif pada pemahaman konsep dan keterampilan proses sains, tetapi juga meningkatkan literasi sains dan kemampuan berpikir tingkat tinggi (higher-order thinking skills/HOTS) siswa (Widiyastuti et al., 2023; Fitriani et al., 2023). Siswa yang belajar melalui CTL berbasis lingkungan cenderung lebih mampu mengidentifikasi masalah ilmiah, menafsirkan data, serta mengambil keputusan berdasarkan bukti ilmiah dibandingkan dengan siswa yang diajar melalui metode tradisional (Putri et al., 2022; Setiawan et al., 2023). Dengan demikian, implementasi CTL berbasis lingkungan menjadi salah satu alternatif inovatif dalam pembelajaran IPA di sekolah dasar untuk menumbuhkan pemahaman konsep yang mendalam sekaligus menyiapkan generasi yang memiliki kesadaran ekologis dan kemampuan berpikir kritis di era modern (Pranata et al., 2021; Marlina et al., 2023; OECD, 2023).</w:t>
      </w:r>
    </w:p>
    <w:p w14:paraId="52258DD1" w14:textId="77777777" w:rsidR="00B2716C" w:rsidRPr="00B2716C" w:rsidRDefault="00B2716C" w:rsidP="00B2716C">
      <w:pPr>
        <w:ind w:firstLine="709"/>
        <w:rPr>
          <w:sz w:val="20"/>
        </w:rPr>
      </w:pPr>
      <w:r w:rsidRPr="00B2716C">
        <w:rPr>
          <w:sz w:val="20"/>
        </w:rPr>
        <w:t>Meski demikian, penerapan pembelajaran kontekstual di sekolah dasar tidak lepas dari berbagai kendala yang memerlukan perhatian serius. Salah satu hambatan utama adalah keterbatasan fasilitas dan sarana prasarana sekolah, seperti laboratorium sederhana, media pembelajaran berbasis lingkungan, dan akses ke lokasi observasi yang memadai (Arifin &amp; Setiawan, 2022; Kusuma et al., 2023). Kondisi ini membuat guru kesulitan mengintegrasikan kegiatan lapangan atau eksperimen yang seharusnya menjadi ciri khas pembelajaran kontekstual (Fitriani et al., 2023; Setiawan et al., 2023). Di beberapa daerah, keterbatasan anggaran dan dukungan manajemen sekolah juga menjadi penghalang dalam penyediaan peralatan praktikum atau bahan ajar yang relevan dengan potensi lokal (Prasetyo et al., 2024; Ningsih et al., 2024).</w:t>
      </w:r>
    </w:p>
    <w:p w14:paraId="05BE6DD6" w14:textId="77777777" w:rsidR="00B2716C" w:rsidRPr="00B2716C" w:rsidRDefault="00B2716C" w:rsidP="00B2716C">
      <w:pPr>
        <w:ind w:firstLine="709"/>
        <w:rPr>
          <w:sz w:val="20"/>
        </w:rPr>
      </w:pPr>
    </w:p>
    <w:p w14:paraId="0F3F4773" w14:textId="77777777" w:rsidR="00B2716C" w:rsidRDefault="00B2716C" w:rsidP="00B2716C">
      <w:pPr>
        <w:spacing w:before="0"/>
        <w:ind w:firstLine="709"/>
        <w:rPr>
          <w:sz w:val="20"/>
        </w:rPr>
      </w:pPr>
      <w:r w:rsidRPr="00B2716C">
        <w:rPr>
          <w:sz w:val="20"/>
        </w:rPr>
        <w:t>Selain keterbatasan fasilitas, kompetensi guru dalam merancang dan mengelola kegiatan berbasis lingkungan juga menjadi tantangan penting. Pembelajaran kontekstual menuntut guru untuk memiliki keterampilan dalam merancang pengalaman belajar yang autentik, memanfaatkan sumber daya alam, serta mengaitkan materi dengan fenomena nyata di sekitar siswa (Arifin &amp; Setiawan, 2022; Widiyastuti et al., 2023). Namun, banyak guru yang belum mendapatkan pelatihan memadai dalam pengembangan model CTL atau pembelajaran berbasis potensi lokal, sehingga pelaksanaannya seringkali tidak optimal (Kusuma et al., 2023; Rahayu &amp; Santosa, 2022). Hasil penelitian menunjukkan bahwa rendahnya literasi ekopedagogi dan keterampilan manajerial guru dapat menghambat proses pembelajaran, terutama dalam merancang kegiatan eksplorasi lapangan yang aman, menarik, dan sesuai dengan capaian pembelajaran (Triana et al., 2023; Wulandari et al., 2023).</w:t>
      </w:r>
    </w:p>
    <w:p w14:paraId="3CD7D18B" w14:textId="77777777" w:rsidR="00B2716C" w:rsidRDefault="00B2716C" w:rsidP="00B2716C">
      <w:pPr>
        <w:spacing w:before="0"/>
        <w:ind w:firstLine="709"/>
        <w:rPr>
          <w:sz w:val="20"/>
        </w:rPr>
      </w:pPr>
      <w:r w:rsidRPr="00B2716C">
        <w:rPr>
          <w:sz w:val="20"/>
        </w:rPr>
        <w:t>Selain faktor guru dan sarana, perbedaan karakteristik siswa juga menjadi tantangan dalam penerapan pembelajaran kontekstual. Siswa memiliki latar belakang pengalaman, minat, dan gaya belajar yang beragam, sehingga kegiatan yang bersifat lapangan atau eksploratif terkadang menimbulkan kesenjangan partisipasi (Kusuma et al., 2023; Marlina et al., 2023). Misalnya, siswa yang kurang terbiasa dengan aktivitas di luar kelas mungkin menunjukkan tingkat keaktifan dan keberanian yang lebih rendah dibandingkan teman sebayanya (Pranata et al., 2021; Fitriani et al., 2023). Perbedaan ini menuntut guru untuk mampu melakukan diferensiasi pembelajaran dan memberikan bimbingan yang sesuai agar semua siswa dapat berpartisipasi secara optimal (Widodo &amp; Sari, 2023; Setiawan et al., 2023).</w:t>
      </w:r>
    </w:p>
    <w:p w14:paraId="51E4EA4C" w14:textId="77777777" w:rsidR="00B2716C" w:rsidRDefault="00B2716C" w:rsidP="00B2716C">
      <w:pPr>
        <w:spacing w:before="0"/>
        <w:ind w:firstLine="709"/>
        <w:rPr>
          <w:sz w:val="20"/>
        </w:rPr>
      </w:pPr>
      <w:r w:rsidRPr="00B2716C">
        <w:rPr>
          <w:sz w:val="20"/>
        </w:rPr>
        <w:t xml:space="preserve">Oleh karena itu, perencanaan yang matang menjadi kunci utama agar proses pembelajaran kontekstual dapat berjalan efektif dan berkelanjutan. Perencanaan tersebut mencakup identifikasi potensi lingkungan sebagai </w:t>
      </w:r>
      <w:r w:rsidRPr="00B2716C">
        <w:rPr>
          <w:sz w:val="20"/>
        </w:rPr>
        <w:lastRenderedPageBreak/>
        <w:t>sumber belajar, penyediaan sarana pendukung, penyiapan prosedur keselamatan, serta penyusunan metode evaluasi yang sesuai dengan karakteristik kegiatan lapangan (Arifin &amp; Setiawan, 2022; Kusuma et al., 2023; Ningsih et al., 2024). Selain itu, dukungan dari berbagai pihak, seperti kepala sekolah, komite sekolah, dan orang tua, diperlukan untuk menciptakan ekosistem pembelajaran yang kondusif dan mendorong partisipasi aktif siswa (Rahayu &amp; Santosa, 2022; Wulandari et al., 2023). Pelatihan guru secara berkelanjutan, penguatan kolaborasi antarpendidik, serta pemanfaatan teknologi digital sebagai media pengayaan juga dapat menjadi strategi efektif untuk mengatasi keterbatasan dan memastikan keberhasilan implementasi CTL berbasis lingkungan (Widiyastuti et al., 2023; Prasetyo et al., 2024).</w:t>
      </w:r>
    </w:p>
    <w:p w14:paraId="3CB3164A" w14:textId="77777777" w:rsidR="00B2716C" w:rsidRDefault="00BE151D" w:rsidP="00B2716C">
      <w:pPr>
        <w:spacing w:before="0"/>
        <w:ind w:firstLine="709"/>
        <w:rPr>
          <w:sz w:val="20"/>
        </w:rPr>
      </w:pPr>
      <w:r w:rsidRPr="00BE151D">
        <w:rPr>
          <w:sz w:val="20"/>
        </w:rPr>
        <w:t>Pemahaman konsep IPA sendiri melibatkan kemampuan siswa untuk menyatakan kembali konsep dengan kata-kata sendiri, memberikan contoh dan non-contoh, serta mengaplikasikan konsep pada situasi baru (Andayani et al., 2022; Syamsudin et al., 2021). Indikator-indikator ini dapat dijadikan acuan dalam menilai keberhasilan pembelajaran kontekstual (Herlina &amp; Fauziah, 2022).</w:t>
      </w:r>
    </w:p>
    <w:p w14:paraId="5C61EA19" w14:textId="77777777" w:rsidR="00B2716C" w:rsidRDefault="00BE151D" w:rsidP="00B2716C">
      <w:pPr>
        <w:spacing w:before="0"/>
        <w:ind w:firstLine="709"/>
        <w:rPr>
          <w:sz w:val="20"/>
        </w:rPr>
      </w:pPr>
      <w:r w:rsidRPr="00BE151D">
        <w:rPr>
          <w:sz w:val="20"/>
        </w:rPr>
        <w:t>Berbagai penelitian implementasi CTL di SD menunjukkan efektivitasnya pada beragam materi, seperti sifat cahaya, ekosistem, dan pelestarian sumber daya alam (Hartati et al., 2022; Wulandari &amp; Siregar, 2023). Kegiatan belajar di luar kelas seperti pengamatan lapangan dan eksperimen sederhana membantu siswa menghubungkan konsep dengan fenomena alam nyata (Ningsih et al., 2021; Pramono et al., 2023).</w:t>
      </w:r>
    </w:p>
    <w:p w14:paraId="5AB9FF81" w14:textId="77777777" w:rsidR="00B2716C" w:rsidRDefault="00B2716C" w:rsidP="00B2716C">
      <w:pPr>
        <w:spacing w:before="0"/>
        <w:ind w:firstLine="709"/>
        <w:rPr>
          <w:sz w:val="20"/>
        </w:rPr>
      </w:pPr>
      <w:r w:rsidRPr="00B2716C">
        <w:rPr>
          <w:sz w:val="20"/>
        </w:rPr>
        <w:t>Kurikulum Merdeka dan Kurikulum 2013 sama-sama menekankan pentingnya pembelajaran berbasis kompetensi yang berorientasi pada pengembangan keterampilan abad ke-21, seperti kemampuan berpikir kritis, kreativitas, kolaborasi, komunikasi, serta penerapan pengetahuan dalam konteks nyata (Kemendikbudristek, 2022; Suwarto et al., 2022). Dalam kerangka tersebut, proses pembelajaran tidak hanya diarahkan pada penguasaan konsep, tetapi juga pada pembentukan karakter, penguatan profil pelajar Pancasila, dan keterampilan memecahkan masalah kehidupan sehari-hari (Wibowo et al., 2023; Fitriani et al., 2023). Prinsip student-centered learning yang diusung kedua kurikulum menuntut guru untuk menyediakan pengalaman belajar yang autentik, menantang, dan relevan dengan kehidupan peserta didik agar mereka dapat mengonstruksi pengetahuan secara aktif melalui interaksi dengan lingkungan sekitar (Setiawan et al., 2023; Widiyastuti et al., 2023).</w:t>
      </w:r>
    </w:p>
    <w:p w14:paraId="5D17A364" w14:textId="77777777" w:rsidR="00B2716C" w:rsidRDefault="00B2716C" w:rsidP="00B2716C">
      <w:pPr>
        <w:spacing w:before="0"/>
        <w:ind w:firstLine="709"/>
        <w:rPr>
          <w:sz w:val="20"/>
        </w:rPr>
      </w:pPr>
      <w:r w:rsidRPr="00B2716C">
        <w:rPr>
          <w:sz w:val="20"/>
        </w:rPr>
        <w:t>Dalam konteks pembelajaran IPA di sekolah dasar, tuntutan tersebut dapat diimplementasikan melalui pendekatan kontekstual yang memanfaatkan sumber daya alam sekitar sebagai media dan objek pembelajaran. Pendekatan ini sejalan dengan esensi Kurikulum Merdeka yang memberikan keleluasaan bagi guru untuk merancang pembelajaran berbasis potensi lokal, sehingga siswa dapat memahami konsep sains sekaligus mengembangkan kepedulian terhadap lingkungan (Suwarto et al., 2022; Wibowo et al., 2023). Misalnya, kegiatan pengamatan ekosistem di taman sekolah, eksplorasi kebun, atau studi lapangan di area konservasi dapat melatih keterampilan proses sains seperti mengamati, mengklasifikasi, mengukur, dan menarik kesimpulan (Fitriani et al., 2023; Ningsih et al., 2024). Dengan cara ini, siswa tidak hanya mempelajari IPA sebagai teori, tetapi juga mengaitkannya dengan fenomena nyata yang mereka temui sehari-hari, sehingga pemahaman konsep menjadi lebih mendalam dan bermakna (Prasetyo et al., 2024; Marlina et al., 2023).</w:t>
      </w:r>
    </w:p>
    <w:p w14:paraId="125DD659" w14:textId="77777777" w:rsidR="00B2716C" w:rsidRDefault="00B2716C" w:rsidP="00B2716C">
      <w:pPr>
        <w:spacing w:before="0"/>
        <w:ind w:firstLine="709"/>
        <w:rPr>
          <w:sz w:val="20"/>
        </w:rPr>
      </w:pPr>
      <w:r w:rsidRPr="00B2716C">
        <w:rPr>
          <w:sz w:val="20"/>
        </w:rPr>
        <w:t>Lebih jauh, integrasi pembelajaran IPA dengan sumber daya alam sekitar dapat memperkuat literasi sains dan kecakapan ekopedagogi siswa sejak dini. Literasi sains yang dimaksud tidak hanya mencakup kemampuan memahami konsep ilmiah, tetapi juga keterampilan menggunakan informasi sains untuk mengambil keputusan berbasis bukti dalam kehidupan sehari-hari (OECD, 2019; Yuliani &amp; Wahyuni, 2021). Kurikulum Merdeka, melalui proyek Profil Pelajar Pancasila seperti tema “Gaya Hidup Berkelanjutan” dan “Kearifan Lokal”, memberikan peluang luas bagi guru untuk merancang pembelajaran IPA yang menekankan pentingnya pelestarian lingkungan, pemanfaatan sumber daya alam secara bijak, serta pengembangan sikap peduli terhadap bumi (Kemendikbudristek, 2022; Widiyastuti et al., 2023). Oleh karena itu, kemampuan guru SD dalam mengintegrasikan pembelajaran IPA dengan pendekatan kontekstual berbasis potensi lokal menjadi kompetensi kunci dalam mewujudkan tujuan pendidikan nasional di era Kurikulum Merdeka (Suwarto et al., 2022; Wibowo et al., 2023; Setiawan et al., 2023).</w:t>
      </w:r>
    </w:p>
    <w:p w14:paraId="47B31009" w14:textId="0D4E5D4C" w:rsidR="00DB260D" w:rsidRPr="00B2716C" w:rsidRDefault="00BE151D" w:rsidP="00B2716C">
      <w:pPr>
        <w:spacing w:before="0"/>
        <w:ind w:firstLine="709"/>
        <w:rPr>
          <w:sz w:val="20"/>
        </w:rPr>
      </w:pPr>
      <w:r w:rsidRPr="00BE151D">
        <w:rPr>
          <w:sz w:val="20"/>
        </w:rPr>
        <w:t xml:space="preserve">Berdasarkan uraian di atas, penelitian ini bertujuan untuk mengkaji implementasi pembelajaran sains kontekstual berbasis sumber daya alam sekitar dalam meningkatkan pemahaman konsep IPA siswa SD. Fokus penelitian mencakup perencanaan, pelaksanaan, dan evaluasi pembelajaran, serta dampaknya terhadap pemahaman konsep siswa (Astuti et al., 2023; Yuliani &amp; Wahyuni, 2021). Hasil penelitian diharapkan dapat memberikan kontribusi bagi pengembangan model pembelajaran IPA yang relevan dengan potensi </w:t>
      </w:r>
      <w:proofErr w:type="gramStart"/>
      <w:r w:rsidRPr="00BE151D">
        <w:rPr>
          <w:sz w:val="20"/>
        </w:rPr>
        <w:t>lokal.</w:t>
      </w:r>
      <w:r w:rsidR="00DB260D" w:rsidRPr="00DB260D">
        <w:rPr>
          <w:sz w:val="20"/>
          <w:lang w:val="en-US"/>
        </w:rPr>
        <w:t>.</w:t>
      </w:r>
      <w:proofErr w:type="gramEnd"/>
    </w:p>
    <w:p w14:paraId="5A8FEF62" w14:textId="77777777" w:rsidR="008F24DF" w:rsidRPr="001F6F9D" w:rsidRDefault="008F24DF" w:rsidP="00CD4829">
      <w:pPr>
        <w:pStyle w:val="ListParagraph"/>
        <w:ind w:left="0" w:firstLine="709"/>
        <w:jc w:val="center"/>
        <w:rPr>
          <w:rFonts w:ascii="Times New Roman" w:hAnsi="Times New Roman"/>
          <w:sz w:val="20"/>
          <w:szCs w:val="20"/>
          <w:lang w:val="en-US"/>
        </w:rPr>
      </w:pPr>
    </w:p>
    <w:p w14:paraId="0112F10B" w14:textId="30B54551" w:rsidR="00281B59" w:rsidRPr="001F6F9D" w:rsidRDefault="00281B59" w:rsidP="00BF0659">
      <w:pPr>
        <w:pStyle w:val="Heading1"/>
        <w:numPr>
          <w:ilvl w:val="0"/>
          <w:numId w:val="35"/>
        </w:numPr>
        <w:spacing w:before="120" w:after="120" w:line="240" w:lineRule="auto"/>
        <w:ind w:left="360"/>
        <w:jc w:val="left"/>
        <w:rPr>
          <w:b w:val="0"/>
        </w:rPr>
      </w:pPr>
      <w:r w:rsidRPr="001F6F9D">
        <w:lastRenderedPageBreak/>
        <w:t>Me</w:t>
      </w:r>
      <w:r w:rsidR="0036384D">
        <w:t>TODE</w:t>
      </w:r>
    </w:p>
    <w:p w14:paraId="31842828" w14:textId="77777777" w:rsidR="005A1688" w:rsidRDefault="005A1688" w:rsidP="005A1688">
      <w:pPr>
        <w:spacing w:before="0" w:line="240" w:lineRule="auto"/>
        <w:ind w:firstLine="720"/>
        <w:rPr>
          <w:sz w:val="20"/>
          <w:lang w:val="en-US" w:eastAsia="en-US"/>
        </w:rPr>
      </w:pPr>
      <w:r w:rsidRPr="005A1688">
        <w:rPr>
          <w:sz w:val="20"/>
          <w:lang w:val="en-US" w:eastAsia="en-US"/>
        </w:rPr>
        <w:t>Penelitian ini menggunakan pendekatan campuran (mixed methods) dengan desain explanatory sequential yang diawali dengan pengumpulan data kuantitatif kemudian dilanjutkan dengan pengumpulan data kualitatif untuk memperkuat hasil temuan. Pendekatan campuran dipilih karena mampu memberikan pemahaman yang lebih komprehensif terhadap efektivitas implementasi pembelajaran sains kontekstual berbasis sumber daya alam sekitar dalam meningkatkan pemahaman konsep IPA siswa SD.</w:t>
      </w:r>
      <w:r>
        <w:rPr>
          <w:sz w:val="20"/>
          <w:lang w:val="en-US" w:eastAsia="en-US"/>
        </w:rPr>
        <w:t xml:space="preserve"> </w:t>
      </w:r>
      <w:r w:rsidRPr="005A1688">
        <w:rPr>
          <w:sz w:val="20"/>
          <w:lang w:val="en-US" w:eastAsia="en-US"/>
        </w:rPr>
        <w:t>Penelitian dilaksanakan di SDN Parang 1 dan SDN Unggulan Kabupaten Magetan, Jawa Timur, yang memiliki potensi sumber daya alam seperti area taman, kebun, dan lingkungan desa yang dapat dimanfaatkan sebagai media pembelajaran. Waktu penelitian berlangsung selama tiga bulan, yaitu dari Februari hingga April 2025, yang mencakup tahap perencanaan, pelaksanaan pembelajaran, pengumpulan data, dan analisis hasil.</w:t>
      </w:r>
    </w:p>
    <w:p w14:paraId="14AF1898" w14:textId="77777777" w:rsidR="005A1688" w:rsidRDefault="005A1688" w:rsidP="005A1688">
      <w:pPr>
        <w:spacing w:before="0" w:line="240" w:lineRule="auto"/>
        <w:ind w:firstLine="720"/>
        <w:rPr>
          <w:sz w:val="20"/>
          <w:lang w:val="en-US" w:eastAsia="en-US"/>
        </w:rPr>
      </w:pPr>
      <w:r w:rsidRPr="005A1688">
        <w:rPr>
          <w:sz w:val="20"/>
          <w:lang w:val="en-US" w:eastAsia="en-US"/>
        </w:rPr>
        <w:t>Sumber data dalam penelitian ini terdiri atas dua jenis. Pertama, data kuantitatif diperoleh dari siswa kelas V SDN Parang 1 dan SDN Unggulan sebagai responden utama untuk mengukur peningkatan pemahaman konsep IPA setelah penerapan pembelajaran kontekstual. Kedua, data kualitatif diperoleh dari guru kelas sebagai informan kunci, serta dokumentasi berupa Rencana Pelaksanaan Pembelajaran (RPP), catatan lapangan, dan hasil observasi selama proses pembelajaran berlangsung.</w:t>
      </w:r>
      <w:r>
        <w:rPr>
          <w:sz w:val="20"/>
          <w:lang w:val="en-US" w:eastAsia="en-US"/>
        </w:rPr>
        <w:t xml:space="preserve"> </w:t>
      </w:r>
      <w:r w:rsidRPr="005A1688">
        <w:rPr>
          <w:sz w:val="20"/>
          <w:lang w:val="en-US" w:eastAsia="en-US"/>
        </w:rPr>
        <w:t>Pengumpulan data dilakukan melalui beberapa teknik. Tes hasil belajar digunakan untuk memperoleh data kuantitatif berupa skor pemahaman konsep IPA siswa sebelum (pretest) dan sesudah (posttest) penerapan pembelajaran kontekstual. Tes disusun dalam bentuk pilihan ganda dan uraian singkat yang telah divalidasi oleh ahli materi. Selanjutnya, observasi dilaksanakan untuk mengamati keterlaksanaan pembelajaran kontekstual, keaktifan siswa, serta pemanfaatan sumber daya alam sekitar. Observasi menggunakan lembar pengamatan terstruktur yang mencakup indikator keterlibatan siswa dan aktivitas guru.</w:t>
      </w:r>
    </w:p>
    <w:p w14:paraId="16DF3ABC" w14:textId="77777777" w:rsidR="005A1688" w:rsidRDefault="005A1688" w:rsidP="005A1688">
      <w:pPr>
        <w:spacing w:before="0" w:line="240" w:lineRule="auto"/>
        <w:ind w:firstLine="720"/>
        <w:rPr>
          <w:sz w:val="20"/>
          <w:lang w:val="en-US" w:eastAsia="en-US"/>
        </w:rPr>
      </w:pPr>
      <w:r w:rsidRPr="005A1688">
        <w:rPr>
          <w:sz w:val="20"/>
          <w:lang w:val="en-US" w:eastAsia="en-US"/>
        </w:rPr>
        <w:t>Selain itu, wawancara semi-terstruktur dilakukan kepada guru kelas V di kedua sekolah untuk menggali informasi mendalam mengenai pengalaman, kendala, dan strategi dalam mengimplementasikan pembelajaran sains kontekstual. Dokumentasi berupa foto, video, dan catatan pelaksanaan kegiatan juga dikumpulkan untuk melengkapi data dan memastikan validitas proses pembelajaran yang diamati.</w:t>
      </w:r>
      <w:r>
        <w:rPr>
          <w:sz w:val="20"/>
          <w:lang w:val="en-US" w:eastAsia="en-US"/>
        </w:rPr>
        <w:t xml:space="preserve"> </w:t>
      </w:r>
      <w:r w:rsidRPr="005A1688">
        <w:rPr>
          <w:sz w:val="20"/>
          <w:lang w:val="en-US" w:eastAsia="en-US"/>
        </w:rPr>
        <w:t>Analisis data dilakukan secara kuantitatif dan kualitatif sesuai dengan jenis data yang diperoleh. Data kuantitatif dianalisis dengan uji statistik paired sample t-test menggunakan perangkat lunak SPSS untuk mengetahui perbedaan signifikan antara skor pretest dan posttest pemahaman konsep IPA siswa. Tingkat signifikansi ditetapkan pada α = 0,05. Sementara itu, data kualitatif dianalisis menggunakan model Miles dan Huberman yang meliputi tiga tahap, yaitu (a) reduksi data dengan menyeleksi dan memfokuskan data hasil observasi, wawancara, dan dokumentasi yang relevan; (b) penyajian data dalam bentuk deskripsi naratif, tabel, dan matriks; serta (c) penarikan kesimpulan untuk menafsirkan makna temuan dan memberikan pemahaman yang lebih mendalam mengenai implementasi pembelajaran kontekstual.</w:t>
      </w:r>
    </w:p>
    <w:p w14:paraId="019996B2" w14:textId="6FA39FDE" w:rsidR="008F24DF" w:rsidRDefault="005A1688" w:rsidP="005A1688">
      <w:pPr>
        <w:spacing w:before="0" w:line="240" w:lineRule="auto"/>
        <w:ind w:firstLine="720"/>
        <w:rPr>
          <w:sz w:val="20"/>
          <w:lang w:val="en-US" w:eastAsia="en-US"/>
        </w:rPr>
      </w:pPr>
      <w:r>
        <w:rPr>
          <w:sz w:val="20"/>
          <w:lang w:val="en-US" w:eastAsia="en-US"/>
        </w:rPr>
        <w:t>P</w:t>
      </w:r>
      <w:r w:rsidRPr="005A1688">
        <w:rPr>
          <w:sz w:val="20"/>
          <w:lang w:val="en-US" w:eastAsia="en-US"/>
        </w:rPr>
        <w:t>enelitian ini menerapkan teknik triangulasi sumber dan metode, yaitu dengan membandingkan data hasil tes, observasi, wawancara, dan dokumentasi. Uji reliabilitas tes dilakukan menggunakan Cronbach’s Alpha untuk memastikan konsistensi instrumen, sedangkan keabsahan data kualitatif diperkuat melalui member check dengan meminta guru dan siswa mengonfirmasi hasil wawancara dan observasi.Dengan prosedur yang terstruktur ini, penelitian diharapkan menghasilkan temuan yang valid, reliabel, dan dapat menjadi rujukan dalam pengembangan pembelajaran sains kontekstual berbasis sumber daya alam di sekolah dasar, khususnya di SDN Parang 1 dan SDN Unggulan Kabupaten Magetan.</w:t>
      </w:r>
    </w:p>
    <w:p w14:paraId="6D4E0F2F" w14:textId="77777777" w:rsidR="005A1688" w:rsidRPr="001F6F9D" w:rsidRDefault="005A1688" w:rsidP="005A1688">
      <w:pPr>
        <w:spacing w:before="0" w:line="240" w:lineRule="auto"/>
        <w:ind w:firstLine="720"/>
        <w:rPr>
          <w:sz w:val="20"/>
          <w:lang w:val="en-US" w:eastAsia="en-US"/>
        </w:rPr>
      </w:pPr>
    </w:p>
    <w:p w14:paraId="31915611" w14:textId="469C27A4" w:rsidR="00281B59" w:rsidRPr="001F6F9D" w:rsidRDefault="0036384D" w:rsidP="004B1AF3">
      <w:pPr>
        <w:pStyle w:val="Heading1"/>
        <w:numPr>
          <w:ilvl w:val="0"/>
          <w:numId w:val="35"/>
        </w:numPr>
        <w:spacing w:before="120" w:after="120" w:line="240" w:lineRule="auto"/>
        <w:ind w:left="360"/>
        <w:jc w:val="left"/>
        <w:rPr>
          <w:b w:val="0"/>
        </w:rPr>
      </w:pPr>
      <w:r>
        <w:t>HASIL DAN PEMBAHASAN</w:t>
      </w:r>
    </w:p>
    <w:p w14:paraId="2F9F879E" w14:textId="3E784E16" w:rsidR="001F67CC" w:rsidRPr="001F6F9D" w:rsidRDefault="0036384D" w:rsidP="007F5968">
      <w:pPr>
        <w:spacing w:before="0" w:line="240" w:lineRule="auto"/>
        <w:rPr>
          <w:sz w:val="20"/>
          <w:lang w:val="id-ID"/>
        </w:rPr>
      </w:pPr>
      <w:r>
        <w:rPr>
          <w:b/>
          <w:bCs/>
          <w:sz w:val="20"/>
          <w:lang w:val="en"/>
        </w:rPr>
        <w:t>Hasil</w:t>
      </w:r>
    </w:p>
    <w:p w14:paraId="31B29F92" w14:textId="77777777" w:rsidR="005A1688" w:rsidRPr="005A1688" w:rsidRDefault="005A1688" w:rsidP="005A1688">
      <w:pPr>
        <w:spacing w:before="0" w:line="240" w:lineRule="auto"/>
        <w:ind w:firstLine="720"/>
        <w:rPr>
          <w:sz w:val="20"/>
          <w:lang w:val="en-ID"/>
        </w:rPr>
      </w:pPr>
      <w:r w:rsidRPr="005A1688">
        <w:rPr>
          <w:sz w:val="20"/>
          <w:lang w:val="en-ID"/>
        </w:rPr>
        <w:t>Bagian ini menyajikan temuan penelitian secara objektif berdasarkan data kuantitatif dan kualitatif yang dikumpulkan selama proses implementasi pembelajaran sains kontekstual berbasis sumber daya alam sekitar di SDN Parang 1 dan SDN Unggulan Kabupaten Magetan. Hasil disusun sesuai urutan tujuan penelitian untuk memberikan gambaran yang sistematis.</w:t>
      </w:r>
    </w:p>
    <w:p w14:paraId="2CA06527" w14:textId="77777777" w:rsidR="005A1688" w:rsidRPr="005A1688" w:rsidRDefault="005A1688" w:rsidP="005A1688">
      <w:pPr>
        <w:spacing w:before="0" w:line="240" w:lineRule="auto"/>
        <w:rPr>
          <w:b/>
          <w:bCs/>
          <w:sz w:val="20"/>
          <w:lang w:val="en-ID"/>
        </w:rPr>
      </w:pPr>
      <w:r w:rsidRPr="005A1688">
        <w:rPr>
          <w:b/>
          <w:bCs/>
          <w:sz w:val="20"/>
          <w:lang w:val="en-ID"/>
        </w:rPr>
        <w:t>1. Hasil Belajar IPA Siswa</w:t>
      </w:r>
    </w:p>
    <w:p w14:paraId="2D0891C6" w14:textId="30D0F58A" w:rsidR="005A1688" w:rsidRPr="005A1688" w:rsidRDefault="005A1688" w:rsidP="005A1688">
      <w:pPr>
        <w:spacing w:before="0" w:line="240" w:lineRule="auto"/>
        <w:ind w:firstLine="720"/>
        <w:rPr>
          <w:sz w:val="20"/>
          <w:lang w:val="en-ID"/>
        </w:rPr>
      </w:pPr>
      <w:r w:rsidRPr="005A1688">
        <w:rPr>
          <w:sz w:val="20"/>
          <w:lang w:val="en-ID"/>
        </w:rPr>
        <w:t>Data kuantitatif diperoleh melalui tes pemahaman konsep IPA yang dilaksanakan sebelum (pretest) dan sesudah (posttest) penerapan pembelajaran kontekstual berbasis sumber daya alam sekitar. Tes ini terdiri atas butir soal pilihan ganda dan uraian singkat yang telah divalidasi oleh ahli materi untuk memastikan keterukuran indikator pemahaman konsep. Hasil analisis menunjukkan adanya peningkatan nilai rata-rata yang signifikan pada kedua sekolah setelah proses pembelajaran berlangsung.</w:t>
      </w:r>
    </w:p>
    <w:p w14:paraId="2561156A" w14:textId="4131DBFB" w:rsidR="005A1688" w:rsidRPr="005A1688" w:rsidRDefault="005A1688" w:rsidP="005A1688">
      <w:pPr>
        <w:spacing w:before="0" w:line="240" w:lineRule="auto"/>
        <w:ind w:firstLine="720"/>
        <w:rPr>
          <w:sz w:val="20"/>
          <w:lang w:val="en-ID"/>
        </w:rPr>
      </w:pPr>
      <w:r w:rsidRPr="005A1688">
        <w:rPr>
          <w:sz w:val="20"/>
          <w:lang w:val="en-ID"/>
        </w:rPr>
        <w:t xml:space="preserve">Pada tahap pretest, nilai rata-rata siswa di SDN Parang 1 berada pada kategori “cukup” dengan skor 63,41, sedangkan siswa di SDN Unggulan memperoleh rata-rata 65,37. Nilai ini menggambarkan bahwa sebagian besar siswa masih mengalami kesulitan dalam memahami konsep-konsep IPA sebelum mengikuti pembelajaran berbasis kontekstual. Setelah pembelajaran kontekstual diterapkan, nilai rata-rata posttest di SDN Parang 1 meningkat menjadi 82,28 dan di SDN Unggulan menjadi 84,10, yang keduanya berada dalam kategori “baik”. Peningkatan </w:t>
      </w:r>
      <w:r w:rsidRPr="005A1688">
        <w:rPr>
          <w:sz w:val="20"/>
          <w:lang w:val="en-ID"/>
        </w:rPr>
        <w:lastRenderedPageBreak/>
        <w:t>ini mengindikasikan bahwa keterlibatan siswa secara langsung dalam kegiatan pengamatan lingkungan sekitar mampu memperkuat pemahaman mereka terhadap materi yang diajarkan.</w:t>
      </w:r>
    </w:p>
    <w:p w14:paraId="67B741D0" w14:textId="5B68824D" w:rsidR="005A1688" w:rsidRPr="005A1688" w:rsidRDefault="005A1688" w:rsidP="005A1688">
      <w:pPr>
        <w:spacing w:before="0" w:line="240" w:lineRule="auto"/>
        <w:ind w:firstLine="720"/>
        <w:rPr>
          <w:sz w:val="20"/>
          <w:lang w:val="en-ID"/>
        </w:rPr>
      </w:pPr>
      <w:r w:rsidRPr="005A1688">
        <w:rPr>
          <w:sz w:val="20"/>
          <w:lang w:val="en-ID"/>
        </w:rPr>
        <w:t>Secara gabungan, hasil uji paired sample t-test menunjukkan perbedaan yang signifikan antara skor pretest dan posttest (p &lt; 0,05) pada kedua sekolah. Nilai selisih rata-rata (gain score) sebesar 18,81 poin menegaskan bahwa pembelajaran kontekstual tidak hanya meningkatkan skor tes secara numerik, tetapi juga berdampak positif terhadap penguasaan konsep yang lebih mendalam. Temuan ini selaras dengan data observasi yang memperlihatkan peningkatan keterlibatan siswa selama proses pembelajaran, seperti keaktifan dalam berdiskusi, kemampuan menghubungkan fenomena alam dengan teori, dan keberanian menyampaikan pendapat.</w:t>
      </w:r>
    </w:p>
    <w:p w14:paraId="20555D17" w14:textId="7C64C6F7" w:rsidR="005A1688" w:rsidRPr="005A1688" w:rsidRDefault="005A1688" w:rsidP="005A1688">
      <w:pPr>
        <w:spacing w:before="0" w:line="240" w:lineRule="auto"/>
        <w:ind w:firstLine="720"/>
        <w:rPr>
          <w:sz w:val="20"/>
          <w:lang w:val="en-ID"/>
        </w:rPr>
      </w:pPr>
      <w:r w:rsidRPr="005A1688">
        <w:rPr>
          <w:sz w:val="20"/>
          <w:lang w:val="en-ID"/>
        </w:rPr>
        <w:t>Selain itu, distribusi skor menunjukkan bahwa jumlah siswa yang mencapai kategori ketuntasan belajar meningkat secara signifikan. Jika sebelum perlakuan hanya sekitar 40% siswa yang mencapai nilai di atas Kriteria Ketuntasan Minimal (KKM), maka setelah perlakuan jumlahnya naik menjadi lebih dari 85% di kedua sekolah. Peningkatan ini menegaskan efektivitas pembelajaran sains kontekstual dalam membantu siswa memahami konsep IPA secara lebih konkret, terukur, dan relevan dengan kehidupan sehari-</w:t>
      </w:r>
      <w:proofErr w:type="gramStart"/>
      <w:r w:rsidRPr="005A1688">
        <w:rPr>
          <w:sz w:val="20"/>
          <w:lang w:val="en-ID"/>
        </w:rPr>
        <w:t>hari..</w:t>
      </w:r>
      <w:proofErr w:type="gramEnd"/>
    </w:p>
    <w:p w14:paraId="05E0FF9E" w14:textId="77777777" w:rsidR="005A1688" w:rsidRDefault="005A1688" w:rsidP="005A1688">
      <w:pPr>
        <w:spacing w:before="0" w:line="240" w:lineRule="auto"/>
        <w:ind w:firstLine="720"/>
        <w:rPr>
          <w:b/>
          <w:bCs/>
          <w:sz w:val="20"/>
          <w:lang w:val="en-ID"/>
        </w:rPr>
      </w:pPr>
      <w:r w:rsidRPr="005A1688">
        <w:rPr>
          <w:b/>
          <w:bCs/>
          <w:sz w:val="20"/>
          <w:lang w:val="en-ID"/>
        </w:rPr>
        <w:t>Tabel 1. Nilai Rata-rata Pretest dan Posttest Pemahaman Konsep IPA Siswa</w:t>
      </w:r>
    </w:p>
    <w:tbl>
      <w:tblPr>
        <w:tblW w:w="9196" w:type="dxa"/>
        <w:tblLook w:val="04A0" w:firstRow="1" w:lastRow="0" w:firstColumn="1" w:lastColumn="0" w:noHBand="0" w:noVBand="1"/>
      </w:tblPr>
      <w:tblGrid>
        <w:gridCol w:w="1700"/>
        <w:gridCol w:w="1272"/>
        <w:gridCol w:w="1340"/>
        <w:gridCol w:w="1520"/>
        <w:gridCol w:w="960"/>
        <w:gridCol w:w="960"/>
        <w:gridCol w:w="1444"/>
      </w:tblGrid>
      <w:tr w:rsidR="00DF6C6A" w:rsidRPr="00DF6C6A" w14:paraId="369FD99E" w14:textId="77777777" w:rsidTr="00DF6C6A">
        <w:trPr>
          <w:trHeight w:val="530"/>
        </w:trPr>
        <w:tc>
          <w:tcPr>
            <w:tcW w:w="1700" w:type="dxa"/>
            <w:tcBorders>
              <w:top w:val="single" w:sz="4" w:space="0" w:color="auto"/>
              <w:left w:val="single" w:sz="4" w:space="0" w:color="auto"/>
              <w:bottom w:val="single" w:sz="4" w:space="0" w:color="auto"/>
              <w:right w:val="single" w:sz="4" w:space="0" w:color="auto"/>
            </w:tcBorders>
            <w:hideMark/>
          </w:tcPr>
          <w:p w14:paraId="320AF145"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Sekolah</w:t>
            </w:r>
          </w:p>
        </w:tc>
        <w:tc>
          <w:tcPr>
            <w:tcW w:w="1272" w:type="dxa"/>
            <w:tcBorders>
              <w:top w:val="single" w:sz="4" w:space="0" w:color="auto"/>
              <w:left w:val="nil"/>
              <w:bottom w:val="single" w:sz="4" w:space="0" w:color="auto"/>
              <w:right w:val="single" w:sz="4" w:space="0" w:color="auto"/>
            </w:tcBorders>
            <w:hideMark/>
          </w:tcPr>
          <w:p w14:paraId="68D6C0AD"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N (siswa)</w:t>
            </w:r>
          </w:p>
        </w:tc>
        <w:tc>
          <w:tcPr>
            <w:tcW w:w="1340" w:type="dxa"/>
            <w:tcBorders>
              <w:top w:val="single" w:sz="4" w:space="0" w:color="auto"/>
              <w:left w:val="nil"/>
              <w:bottom w:val="single" w:sz="4" w:space="0" w:color="auto"/>
              <w:right w:val="single" w:sz="4" w:space="0" w:color="auto"/>
            </w:tcBorders>
            <w:vAlign w:val="bottom"/>
            <w:hideMark/>
          </w:tcPr>
          <w:p w14:paraId="11AA9A2C" w14:textId="77777777" w:rsidR="00DF6C6A" w:rsidRPr="00DF6C6A" w:rsidRDefault="00DF6C6A" w:rsidP="00DF6C6A">
            <w:pPr>
              <w:spacing w:before="0" w:line="240" w:lineRule="auto"/>
              <w:jc w:val="center"/>
              <w:rPr>
                <w:b/>
                <w:bCs/>
                <w:color w:val="000000"/>
                <w:sz w:val="20"/>
                <w:lang w:val="en-ID" w:eastAsia="en-ID"/>
              </w:rPr>
            </w:pPr>
            <w:r w:rsidRPr="00DF6C6A">
              <w:rPr>
                <w:b/>
                <w:bCs/>
                <w:color w:val="000000"/>
                <w:sz w:val="20"/>
                <w:lang w:val="en-ID" w:eastAsia="en-ID"/>
              </w:rPr>
              <w:t>Pretest (M ± SD)</w:t>
            </w:r>
          </w:p>
        </w:tc>
        <w:tc>
          <w:tcPr>
            <w:tcW w:w="1520" w:type="dxa"/>
            <w:tcBorders>
              <w:top w:val="single" w:sz="4" w:space="0" w:color="auto"/>
              <w:left w:val="nil"/>
              <w:bottom w:val="single" w:sz="4" w:space="0" w:color="auto"/>
              <w:right w:val="single" w:sz="4" w:space="0" w:color="auto"/>
            </w:tcBorders>
            <w:vAlign w:val="bottom"/>
            <w:hideMark/>
          </w:tcPr>
          <w:p w14:paraId="58E93DFC" w14:textId="77777777" w:rsidR="00DF6C6A" w:rsidRPr="00DF6C6A" w:rsidRDefault="00DF6C6A" w:rsidP="00DF6C6A">
            <w:pPr>
              <w:spacing w:before="0" w:line="240" w:lineRule="auto"/>
              <w:jc w:val="center"/>
              <w:rPr>
                <w:b/>
                <w:bCs/>
                <w:color w:val="000000"/>
                <w:sz w:val="20"/>
                <w:lang w:val="en-ID" w:eastAsia="en-ID"/>
              </w:rPr>
            </w:pPr>
            <w:r w:rsidRPr="00DF6C6A">
              <w:rPr>
                <w:b/>
                <w:bCs/>
                <w:color w:val="000000"/>
                <w:sz w:val="20"/>
                <w:lang w:val="en-ID" w:eastAsia="en-ID"/>
              </w:rPr>
              <w:t>Posttest (M ± SD)</w:t>
            </w:r>
          </w:p>
        </w:tc>
        <w:tc>
          <w:tcPr>
            <w:tcW w:w="960" w:type="dxa"/>
            <w:tcBorders>
              <w:top w:val="single" w:sz="4" w:space="0" w:color="auto"/>
              <w:left w:val="nil"/>
              <w:bottom w:val="single" w:sz="4" w:space="0" w:color="auto"/>
              <w:right w:val="single" w:sz="4" w:space="0" w:color="auto"/>
            </w:tcBorders>
            <w:hideMark/>
          </w:tcPr>
          <w:p w14:paraId="06FBC8A3"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Selisih</w:t>
            </w:r>
          </w:p>
        </w:tc>
        <w:tc>
          <w:tcPr>
            <w:tcW w:w="960" w:type="dxa"/>
            <w:tcBorders>
              <w:top w:val="single" w:sz="4" w:space="0" w:color="auto"/>
              <w:left w:val="nil"/>
              <w:bottom w:val="single" w:sz="4" w:space="0" w:color="auto"/>
              <w:right w:val="single" w:sz="4" w:space="0" w:color="auto"/>
            </w:tcBorders>
            <w:hideMark/>
          </w:tcPr>
          <w:p w14:paraId="044CD1C3" w14:textId="77777777" w:rsidR="00DF6C6A" w:rsidRPr="00DF6C6A" w:rsidRDefault="00DF6C6A" w:rsidP="00DF6C6A">
            <w:pPr>
              <w:spacing w:before="0" w:line="240" w:lineRule="auto"/>
              <w:rPr>
                <w:b/>
                <w:bCs/>
                <w:i/>
                <w:iCs/>
                <w:color w:val="000000"/>
                <w:sz w:val="20"/>
                <w:lang w:val="en-ID" w:eastAsia="en-ID"/>
              </w:rPr>
            </w:pPr>
            <w:r w:rsidRPr="00DF6C6A">
              <w:rPr>
                <w:b/>
                <w:bCs/>
                <w:i/>
                <w:iCs/>
                <w:color w:val="000000"/>
                <w:sz w:val="20"/>
                <w:lang w:val="en-ID" w:eastAsia="en-ID"/>
              </w:rPr>
              <w:t>t</w:t>
            </w:r>
            <w:r w:rsidRPr="00DF6C6A">
              <w:rPr>
                <w:b/>
                <w:bCs/>
                <w:color w:val="000000"/>
                <w:sz w:val="20"/>
                <w:lang w:val="en-ID" w:eastAsia="en-ID"/>
              </w:rPr>
              <w:t xml:space="preserve"> hitung</w:t>
            </w:r>
          </w:p>
        </w:tc>
        <w:tc>
          <w:tcPr>
            <w:tcW w:w="1444" w:type="dxa"/>
            <w:tcBorders>
              <w:top w:val="single" w:sz="4" w:space="0" w:color="auto"/>
              <w:left w:val="nil"/>
              <w:bottom w:val="single" w:sz="4" w:space="0" w:color="auto"/>
              <w:right w:val="single" w:sz="4" w:space="0" w:color="auto"/>
            </w:tcBorders>
            <w:hideMark/>
          </w:tcPr>
          <w:p w14:paraId="1217D054" w14:textId="77777777" w:rsidR="00DF6C6A" w:rsidRPr="00DF6C6A" w:rsidRDefault="00DF6C6A" w:rsidP="00DF6C6A">
            <w:pPr>
              <w:spacing w:before="0" w:line="240" w:lineRule="auto"/>
              <w:rPr>
                <w:b/>
                <w:bCs/>
                <w:i/>
                <w:iCs/>
                <w:color w:val="000000"/>
                <w:sz w:val="20"/>
                <w:lang w:val="en-ID" w:eastAsia="en-ID"/>
              </w:rPr>
            </w:pPr>
            <w:r w:rsidRPr="00DF6C6A">
              <w:rPr>
                <w:b/>
                <w:bCs/>
                <w:i/>
                <w:iCs/>
                <w:color w:val="000000"/>
                <w:sz w:val="20"/>
                <w:lang w:val="en-ID" w:eastAsia="en-ID"/>
              </w:rPr>
              <w:t>p</w:t>
            </w:r>
            <w:r w:rsidRPr="00DF6C6A">
              <w:rPr>
                <w:b/>
                <w:bCs/>
                <w:color w:val="000000"/>
                <w:sz w:val="20"/>
                <w:lang w:val="en-ID" w:eastAsia="en-ID"/>
              </w:rPr>
              <w:t>-value</w:t>
            </w:r>
          </w:p>
        </w:tc>
      </w:tr>
      <w:tr w:rsidR="00DF6C6A" w:rsidRPr="00DF6C6A" w14:paraId="28451A12" w14:textId="77777777" w:rsidTr="00DF6C6A">
        <w:trPr>
          <w:trHeight w:val="290"/>
        </w:trPr>
        <w:tc>
          <w:tcPr>
            <w:tcW w:w="1700" w:type="dxa"/>
            <w:tcBorders>
              <w:top w:val="nil"/>
              <w:left w:val="single" w:sz="4" w:space="0" w:color="auto"/>
              <w:bottom w:val="single" w:sz="4" w:space="0" w:color="auto"/>
              <w:right w:val="single" w:sz="4" w:space="0" w:color="auto"/>
            </w:tcBorders>
            <w:hideMark/>
          </w:tcPr>
          <w:p w14:paraId="2D6C5798"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SDN Parang 1</w:t>
            </w:r>
          </w:p>
        </w:tc>
        <w:tc>
          <w:tcPr>
            <w:tcW w:w="1272" w:type="dxa"/>
            <w:tcBorders>
              <w:top w:val="nil"/>
              <w:left w:val="nil"/>
              <w:bottom w:val="single" w:sz="4" w:space="0" w:color="auto"/>
              <w:right w:val="single" w:sz="4" w:space="0" w:color="auto"/>
            </w:tcBorders>
            <w:hideMark/>
          </w:tcPr>
          <w:p w14:paraId="306929DA"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32</w:t>
            </w:r>
          </w:p>
        </w:tc>
        <w:tc>
          <w:tcPr>
            <w:tcW w:w="1340" w:type="dxa"/>
            <w:tcBorders>
              <w:top w:val="nil"/>
              <w:left w:val="nil"/>
              <w:bottom w:val="single" w:sz="4" w:space="0" w:color="auto"/>
              <w:right w:val="single" w:sz="4" w:space="0" w:color="auto"/>
            </w:tcBorders>
            <w:hideMark/>
          </w:tcPr>
          <w:p w14:paraId="4D775C8C"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63,41 ± 7,82</w:t>
            </w:r>
          </w:p>
        </w:tc>
        <w:tc>
          <w:tcPr>
            <w:tcW w:w="1520" w:type="dxa"/>
            <w:tcBorders>
              <w:top w:val="nil"/>
              <w:left w:val="nil"/>
              <w:bottom w:val="single" w:sz="4" w:space="0" w:color="auto"/>
              <w:right w:val="single" w:sz="4" w:space="0" w:color="auto"/>
            </w:tcBorders>
            <w:hideMark/>
          </w:tcPr>
          <w:p w14:paraId="77264438"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82,28 ± 6,95</w:t>
            </w:r>
          </w:p>
        </w:tc>
        <w:tc>
          <w:tcPr>
            <w:tcW w:w="960" w:type="dxa"/>
            <w:tcBorders>
              <w:top w:val="nil"/>
              <w:left w:val="nil"/>
              <w:bottom w:val="single" w:sz="4" w:space="0" w:color="auto"/>
              <w:right w:val="single" w:sz="4" w:space="0" w:color="auto"/>
            </w:tcBorders>
            <w:hideMark/>
          </w:tcPr>
          <w:p w14:paraId="1213FEA0"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18,87</w:t>
            </w:r>
          </w:p>
        </w:tc>
        <w:tc>
          <w:tcPr>
            <w:tcW w:w="960" w:type="dxa"/>
            <w:tcBorders>
              <w:top w:val="nil"/>
              <w:left w:val="nil"/>
              <w:bottom w:val="single" w:sz="4" w:space="0" w:color="auto"/>
              <w:right w:val="single" w:sz="4" w:space="0" w:color="auto"/>
            </w:tcBorders>
            <w:hideMark/>
          </w:tcPr>
          <w:p w14:paraId="241BF15B"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11,24</w:t>
            </w:r>
          </w:p>
        </w:tc>
        <w:tc>
          <w:tcPr>
            <w:tcW w:w="1444" w:type="dxa"/>
            <w:tcBorders>
              <w:top w:val="nil"/>
              <w:left w:val="nil"/>
              <w:bottom w:val="single" w:sz="4" w:space="0" w:color="auto"/>
              <w:right w:val="single" w:sz="4" w:space="0" w:color="auto"/>
            </w:tcBorders>
            <w:hideMark/>
          </w:tcPr>
          <w:p w14:paraId="5F06F07F"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0</w:t>
            </w:r>
          </w:p>
        </w:tc>
      </w:tr>
      <w:tr w:rsidR="00DF6C6A" w:rsidRPr="00DF6C6A" w14:paraId="5C983428" w14:textId="77777777" w:rsidTr="00DF6C6A">
        <w:trPr>
          <w:trHeight w:val="290"/>
        </w:trPr>
        <w:tc>
          <w:tcPr>
            <w:tcW w:w="1700" w:type="dxa"/>
            <w:tcBorders>
              <w:top w:val="nil"/>
              <w:left w:val="single" w:sz="4" w:space="0" w:color="auto"/>
              <w:bottom w:val="single" w:sz="4" w:space="0" w:color="auto"/>
              <w:right w:val="single" w:sz="4" w:space="0" w:color="auto"/>
            </w:tcBorders>
            <w:hideMark/>
          </w:tcPr>
          <w:p w14:paraId="7E05E786"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SDN Unggulan</w:t>
            </w:r>
          </w:p>
        </w:tc>
        <w:tc>
          <w:tcPr>
            <w:tcW w:w="1272" w:type="dxa"/>
            <w:tcBorders>
              <w:top w:val="nil"/>
              <w:left w:val="nil"/>
              <w:bottom w:val="single" w:sz="4" w:space="0" w:color="auto"/>
              <w:right w:val="single" w:sz="4" w:space="0" w:color="auto"/>
            </w:tcBorders>
            <w:hideMark/>
          </w:tcPr>
          <w:p w14:paraId="438FE85B"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30</w:t>
            </w:r>
          </w:p>
        </w:tc>
        <w:tc>
          <w:tcPr>
            <w:tcW w:w="1340" w:type="dxa"/>
            <w:tcBorders>
              <w:top w:val="nil"/>
              <w:left w:val="nil"/>
              <w:bottom w:val="single" w:sz="4" w:space="0" w:color="auto"/>
              <w:right w:val="single" w:sz="4" w:space="0" w:color="auto"/>
            </w:tcBorders>
            <w:hideMark/>
          </w:tcPr>
          <w:p w14:paraId="02D1BB76"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65,37 ± 8,14</w:t>
            </w:r>
          </w:p>
        </w:tc>
        <w:tc>
          <w:tcPr>
            <w:tcW w:w="1520" w:type="dxa"/>
            <w:tcBorders>
              <w:top w:val="nil"/>
              <w:left w:val="nil"/>
              <w:bottom w:val="single" w:sz="4" w:space="0" w:color="auto"/>
              <w:right w:val="single" w:sz="4" w:space="0" w:color="auto"/>
            </w:tcBorders>
            <w:hideMark/>
          </w:tcPr>
          <w:p w14:paraId="43114D86"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84,10 ± 7,36</w:t>
            </w:r>
          </w:p>
        </w:tc>
        <w:tc>
          <w:tcPr>
            <w:tcW w:w="960" w:type="dxa"/>
            <w:tcBorders>
              <w:top w:val="nil"/>
              <w:left w:val="nil"/>
              <w:bottom w:val="single" w:sz="4" w:space="0" w:color="auto"/>
              <w:right w:val="single" w:sz="4" w:space="0" w:color="auto"/>
            </w:tcBorders>
            <w:hideMark/>
          </w:tcPr>
          <w:p w14:paraId="09D7D53E"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18,73</w:t>
            </w:r>
          </w:p>
        </w:tc>
        <w:tc>
          <w:tcPr>
            <w:tcW w:w="960" w:type="dxa"/>
            <w:tcBorders>
              <w:top w:val="nil"/>
              <w:left w:val="nil"/>
              <w:bottom w:val="single" w:sz="4" w:space="0" w:color="auto"/>
              <w:right w:val="single" w:sz="4" w:space="0" w:color="auto"/>
            </w:tcBorders>
            <w:hideMark/>
          </w:tcPr>
          <w:p w14:paraId="381C618C"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10,87</w:t>
            </w:r>
          </w:p>
        </w:tc>
        <w:tc>
          <w:tcPr>
            <w:tcW w:w="1444" w:type="dxa"/>
            <w:tcBorders>
              <w:top w:val="nil"/>
              <w:left w:val="nil"/>
              <w:bottom w:val="single" w:sz="4" w:space="0" w:color="auto"/>
              <w:right w:val="single" w:sz="4" w:space="0" w:color="auto"/>
            </w:tcBorders>
            <w:hideMark/>
          </w:tcPr>
          <w:p w14:paraId="33D71047"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0</w:t>
            </w:r>
          </w:p>
        </w:tc>
      </w:tr>
      <w:tr w:rsidR="00DF6C6A" w:rsidRPr="00DF6C6A" w14:paraId="6B45140B" w14:textId="77777777" w:rsidTr="00DF6C6A">
        <w:trPr>
          <w:trHeight w:val="290"/>
        </w:trPr>
        <w:tc>
          <w:tcPr>
            <w:tcW w:w="1700" w:type="dxa"/>
            <w:tcBorders>
              <w:top w:val="nil"/>
              <w:left w:val="single" w:sz="4" w:space="0" w:color="auto"/>
              <w:bottom w:val="single" w:sz="4" w:space="0" w:color="auto"/>
              <w:right w:val="single" w:sz="4" w:space="0" w:color="auto"/>
            </w:tcBorders>
            <w:hideMark/>
          </w:tcPr>
          <w:p w14:paraId="5615BD7E"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Gabungan</w:t>
            </w:r>
          </w:p>
        </w:tc>
        <w:tc>
          <w:tcPr>
            <w:tcW w:w="1272" w:type="dxa"/>
            <w:tcBorders>
              <w:top w:val="nil"/>
              <w:left w:val="nil"/>
              <w:bottom w:val="single" w:sz="4" w:space="0" w:color="auto"/>
              <w:right w:val="single" w:sz="4" w:space="0" w:color="auto"/>
            </w:tcBorders>
            <w:hideMark/>
          </w:tcPr>
          <w:p w14:paraId="1B13783F"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62</w:t>
            </w:r>
          </w:p>
        </w:tc>
        <w:tc>
          <w:tcPr>
            <w:tcW w:w="1340" w:type="dxa"/>
            <w:tcBorders>
              <w:top w:val="nil"/>
              <w:left w:val="nil"/>
              <w:bottom w:val="single" w:sz="4" w:space="0" w:color="auto"/>
              <w:right w:val="single" w:sz="4" w:space="0" w:color="auto"/>
            </w:tcBorders>
            <w:hideMark/>
          </w:tcPr>
          <w:p w14:paraId="54F8CAD3"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64,36 ± 7,96</w:t>
            </w:r>
          </w:p>
        </w:tc>
        <w:tc>
          <w:tcPr>
            <w:tcW w:w="1520" w:type="dxa"/>
            <w:tcBorders>
              <w:top w:val="nil"/>
              <w:left w:val="nil"/>
              <w:bottom w:val="single" w:sz="4" w:space="0" w:color="auto"/>
              <w:right w:val="single" w:sz="4" w:space="0" w:color="auto"/>
            </w:tcBorders>
            <w:hideMark/>
          </w:tcPr>
          <w:p w14:paraId="6789D47F"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83,17 ± 7,15</w:t>
            </w:r>
          </w:p>
        </w:tc>
        <w:tc>
          <w:tcPr>
            <w:tcW w:w="960" w:type="dxa"/>
            <w:tcBorders>
              <w:top w:val="nil"/>
              <w:left w:val="nil"/>
              <w:bottom w:val="single" w:sz="4" w:space="0" w:color="auto"/>
              <w:right w:val="single" w:sz="4" w:space="0" w:color="auto"/>
            </w:tcBorders>
            <w:hideMark/>
          </w:tcPr>
          <w:p w14:paraId="2DA9EFCB"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18,81</w:t>
            </w:r>
          </w:p>
        </w:tc>
        <w:tc>
          <w:tcPr>
            <w:tcW w:w="960" w:type="dxa"/>
            <w:tcBorders>
              <w:top w:val="nil"/>
              <w:left w:val="nil"/>
              <w:bottom w:val="single" w:sz="4" w:space="0" w:color="auto"/>
              <w:right w:val="single" w:sz="4" w:space="0" w:color="auto"/>
            </w:tcBorders>
            <w:hideMark/>
          </w:tcPr>
          <w:p w14:paraId="6B61088C"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15,42</w:t>
            </w:r>
          </w:p>
        </w:tc>
        <w:tc>
          <w:tcPr>
            <w:tcW w:w="1444" w:type="dxa"/>
            <w:tcBorders>
              <w:top w:val="nil"/>
              <w:left w:val="nil"/>
              <w:bottom w:val="single" w:sz="4" w:space="0" w:color="auto"/>
              <w:right w:val="single" w:sz="4" w:space="0" w:color="auto"/>
            </w:tcBorders>
            <w:hideMark/>
          </w:tcPr>
          <w:p w14:paraId="0491DFD8"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0</w:t>
            </w:r>
          </w:p>
        </w:tc>
      </w:tr>
    </w:tbl>
    <w:p w14:paraId="25061DCB" w14:textId="77777777" w:rsidR="005A1688" w:rsidRPr="005A1688" w:rsidRDefault="005A1688" w:rsidP="00DF6C6A">
      <w:pPr>
        <w:spacing w:before="0" w:line="240" w:lineRule="auto"/>
        <w:rPr>
          <w:sz w:val="20"/>
          <w:lang w:val="en-ID"/>
        </w:rPr>
      </w:pPr>
      <w:r w:rsidRPr="005A1688">
        <w:rPr>
          <w:sz w:val="20"/>
          <w:lang w:val="en-ID"/>
        </w:rPr>
        <w:t xml:space="preserve">Keterangan: M = Mean, SD = Standar Deviasi, </w:t>
      </w:r>
      <w:r w:rsidRPr="005A1688">
        <w:rPr>
          <w:i/>
          <w:iCs/>
          <w:sz w:val="20"/>
          <w:lang w:val="en-ID"/>
        </w:rPr>
        <w:t>p</w:t>
      </w:r>
      <w:r w:rsidRPr="005A1688">
        <w:rPr>
          <w:sz w:val="20"/>
          <w:lang w:val="en-ID"/>
        </w:rPr>
        <w:t>-value &lt; 0,05 menunjukkan perbedaan signifikan.</w:t>
      </w:r>
    </w:p>
    <w:p w14:paraId="3EC46DF5" w14:textId="77777777" w:rsidR="00DF6C6A" w:rsidRDefault="00DF6C6A" w:rsidP="005A1688">
      <w:pPr>
        <w:spacing w:before="0" w:line="240" w:lineRule="auto"/>
        <w:ind w:firstLine="720"/>
        <w:rPr>
          <w:sz w:val="20"/>
          <w:lang w:val="en-ID"/>
        </w:rPr>
      </w:pPr>
    </w:p>
    <w:p w14:paraId="4DFA06F1" w14:textId="7D8970AD" w:rsidR="00DF6C6A" w:rsidRPr="00DF6C6A" w:rsidRDefault="00DF6C6A" w:rsidP="00DF6C6A">
      <w:pPr>
        <w:spacing w:before="0" w:line="240" w:lineRule="auto"/>
        <w:ind w:firstLine="720"/>
        <w:rPr>
          <w:sz w:val="20"/>
          <w:lang w:val="en-ID"/>
        </w:rPr>
      </w:pPr>
      <w:r w:rsidRPr="00DF6C6A">
        <w:rPr>
          <w:sz w:val="20"/>
          <w:lang w:val="en-ID"/>
        </w:rPr>
        <w:t>Hasil paired sample t-test menunjukkan adanya perbedaan yang sangat signifikan antara nilai pretest dan posttest baik di SDN Parang 1 (t = 11,24; p = 0,000) maupun di SDN Unggulan (t = 10,87; p = 0,000). Nilai p yang jauh lebih kecil dari batas signifikansi 0,05 mengindikasikan bahwa peningkatan skor bukan terjadi secara kebetulan, melainkan sebagai dampak nyata dari penerapan pembelajaran kontekstual berbasis lingkungan. Secara keseluruhan, nilai rata-rata gabungan kedua sekolah meningkat dari 64,36 pada pretest menjadi 83,17 pada posttest, dengan selisih sebesar 18,81 poin, yang tergolong gain tinggi berdasarkan kriteria efektivitas pembelajaran.</w:t>
      </w:r>
    </w:p>
    <w:p w14:paraId="0C34E905" w14:textId="1CB48945" w:rsidR="00DF6C6A" w:rsidRPr="00DF6C6A" w:rsidRDefault="00DF6C6A" w:rsidP="00DF6C6A">
      <w:pPr>
        <w:spacing w:before="0" w:line="240" w:lineRule="auto"/>
        <w:ind w:firstLine="720"/>
        <w:rPr>
          <w:sz w:val="20"/>
          <w:lang w:val="en-ID"/>
        </w:rPr>
      </w:pPr>
      <w:r w:rsidRPr="00DF6C6A">
        <w:rPr>
          <w:sz w:val="20"/>
          <w:lang w:val="en-ID"/>
        </w:rPr>
        <w:t>Peningkatan yang signifikan ini menunjukkan bahwa kegiatan pembelajaran yang memanfaatkan sumber daya alam sekitar berhasil membantu siswa membangun pemahaman konsep IPA secara lebih mendalam. Melalui proses belajar yang melibatkan pengamatan langsung, eksplorasi fenomena alam, dan diskusi kelompok, siswa tidak hanya menghafal fakta, tetapi juga mampu menghubungkan teori dengan pengalaman empiris. Kondisi ini sesuai dengan prinsip pembelajaran kontekstual (Contextual Teaching and Learning/CTL) yang menekankan keterkaitan antara materi pelajaran dan situasi dunia nyata sehingga informasi menjadi lebih bermakna bagi peserta didik.</w:t>
      </w:r>
    </w:p>
    <w:p w14:paraId="690A5905" w14:textId="5502EF9C" w:rsidR="00DF6C6A" w:rsidRPr="00DF6C6A" w:rsidRDefault="00DF6C6A" w:rsidP="00DF6C6A">
      <w:pPr>
        <w:spacing w:before="0" w:line="240" w:lineRule="auto"/>
        <w:ind w:firstLine="720"/>
        <w:rPr>
          <w:sz w:val="20"/>
          <w:lang w:val="en-ID"/>
        </w:rPr>
      </w:pPr>
      <w:r w:rsidRPr="00DF6C6A">
        <w:rPr>
          <w:sz w:val="20"/>
          <w:lang w:val="en-ID"/>
        </w:rPr>
        <w:t>Selain peningkatan nilai rata-rata, distribusi data juga menunjukkan perbaikan yang konsisten pada berbagai indikator pemahaman konsep, seperti kemampuan mengidentifikasi fenomena alam, menjelaskan proses ilmiah, dan menarik kesimpulan dari hasil pengamatan. Jumlah siswa yang mencapai kategori ketuntasan belajar (nilai ≥ KKM) meningkat signifikan, dari sekitar 40% pada tahap pretest menjadi lebih dari 85% pada posttest di kedua sekolah. Temuan ini menegaskan bahwa pembelajaran kontekstual tidak hanya efektif secara statistik, tetapi juga memberikan dampak praktis terhadap kualitas penguasaan materi IPA siswa.</w:t>
      </w:r>
    </w:p>
    <w:p w14:paraId="75AB8DE7" w14:textId="15B12938" w:rsidR="00DF6C6A" w:rsidRDefault="00DF6C6A" w:rsidP="00DF6C6A">
      <w:pPr>
        <w:spacing w:before="0" w:line="240" w:lineRule="auto"/>
        <w:ind w:firstLine="720"/>
        <w:rPr>
          <w:sz w:val="20"/>
          <w:lang w:val="en-ID"/>
        </w:rPr>
      </w:pPr>
      <w:r w:rsidRPr="00DF6C6A">
        <w:rPr>
          <w:sz w:val="20"/>
          <w:lang w:val="en-ID"/>
        </w:rPr>
        <w:t>Keberhasilan ini diperkuat oleh hasil observasi yang menunjukkan peningkatan keterlibatan aktif siswa dalam setiap sesi pembelajaran, mulai dari keaktifan bertanya, partisipasi dalam percobaan sederhana, hingga keberanian mempresentasikan hasil pengamatan. Dengan demikian, penerapan pembelajaran kontekstual berbasis lingkungan dapat dikatakan berkontribusi signifikan dalam meningkatkan pemahaman konsep IPA sekaligus mengembangkan keterampilan berpikir ilmiah siswa di tingkat sekolah dasar.</w:t>
      </w:r>
    </w:p>
    <w:p w14:paraId="7CEB9DFA" w14:textId="77777777" w:rsidR="00DF6C6A" w:rsidRPr="005A1688" w:rsidRDefault="00DF6C6A" w:rsidP="00DF6C6A">
      <w:pPr>
        <w:spacing w:before="0" w:line="240" w:lineRule="auto"/>
        <w:ind w:firstLine="720"/>
        <w:rPr>
          <w:sz w:val="20"/>
          <w:lang w:val="en-ID"/>
        </w:rPr>
      </w:pPr>
    </w:p>
    <w:p w14:paraId="1C3E39F6" w14:textId="77777777" w:rsidR="005A1688" w:rsidRPr="005A1688" w:rsidRDefault="005A1688" w:rsidP="00DF6C6A">
      <w:pPr>
        <w:spacing w:before="0" w:line="240" w:lineRule="auto"/>
        <w:rPr>
          <w:b/>
          <w:bCs/>
          <w:sz w:val="20"/>
          <w:lang w:val="en-ID"/>
        </w:rPr>
      </w:pPr>
      <w:r w:rsidRPr="005A1688">
        <w:rPr>
          <w:b/>
          <w:bCs/>
          <w:sz w:val="20"/>
          <w:lang w:val="en-ID"/>
        </w:rPr>
        <w:t>2. Keaktifan dan Keterlibatan Siswa</w:t>
      </w:r>
    </w:p>
    <w:p w14:paraId="69E9DA06" w14:textId="3C600745" w:rsidR="00DF6C6A" w:rsidRPr="00DF6C6A" w:rsidRDefault="00DF6C6A" w:rsidP="00DF6C6A">
      <w:pPr>
        <w:spacing w:before="0" w:line="240" w:lineRule="auto"/>
        <w:ind w:firstLine="720"/>
        <w:rPr>
          <w:sz w:val="20"/>
          <w:lang w:val="en-ID"/>
        </w:rPr>
      </w:pPr>
      <w:r w:rsidRPr="00DF6C6A">
        <w:rPr>
          <w:sz w:val="20"/>
          <w:lang w:val="en-ID"/>
        </w:rPr>
        <w:t>Data observasi menunjukkan adanya peningkatan keaktifan siswa yang konsisten pada setiap pertemuan selama proses pembelajaran kontekstual berlangsung. Pada awal pertemuan, sebagian besar siswa masih terlihat ragu untuk berpartisipasi, hanya beberapa yang aktif mengajukan pertanyaan atau menanggapi arahan guru. Namun, seiring dengan berjalannya kegiatan pembelajaran yang melibatkan pengamatan langsung terhadap lingkungan sekitar, keaktifan siswa meningkat secara bertahap. Mereka mulai terbiasa mengemukakan pendapat, melakukan eksplorasi, dan menyampaikan hasil pengamatan di depan kelompok maupun kelas secara lebih percaya diri.</w:t>
      </w:r>
    </w:p>
    <w:p w14:paraId="717E946E" w14:textId="4B03B995" w:rsidR="00DF6C6A" w:rsidRPr="00DF6C6A" w:rsidRDefault="00DF6C6A" w:rsidP="00DF6C6A">
      <w:pPr>
        <w:spacing w:before="0" w:line="240" w:lineRule="auto"/>
        <w:ind w:firstLine="720"/>
        <w:rPr>
          <w:sz w:val="20"/>
          <w:lang w:val="en-ID"/>
        </w:rPr>
      </w:pPr>
      <w:r w:rsidRPr="00DF6C6A">
        <w:rPr>
          <w:sz w:val="20"/>
          <w:lang w:val="en-ID"/>
        </w:rPr>
        <w:t xml:space="preserve">Peningkatan keterlibatan ini tercermin dari skor observasi yang mengalami kenaikan signifikan pada setiap pertemuan. Pada pertemuan pertama, rata-rata skor keterlibatan siswa masih berada pada kategori “cukup”, di mana partisipasi didominasi oleh beberapa siswa saja, sementara yang lain cenderung pasif. Pada pertemuan </w:t>
      </w:r>
      <w:r w:rsidRPr="00DF6C6A">
        <w:rPr>
          <w:sz w:val="20"/>
          <w:lang w:val="en-ID"/>
        </w:rPr>
        <w:lastRenderedPageBreak/>
        <w:t>kedua dan ketiga, skor meningkat ke kategori “baik”, ditandai dengan semakin banyak siswa yang aktif bertanya, mencatat temuan, serta berinisiatif melakukan pengamatan lebih detail. Memasuki pertemuan keempat, skor keterlibatan mencapai kategori “sangat baik”, yang menunjukkan hampir seluruh siswa berpartisipasi aktif dalam diskusi kelompok, menyampaikan pendapat, serta mengaitkan fenomena yang diamati dengan konsep IPA yang dipelajari.</w:t>
      </w:r>
    </w:p>
    <w:p w14:paraId="4E3C7B02" w14:textId="68F3746D" w:rsidR="00DF6C6A" w:rsidRPr="00DF6C6A" w:rsidRDefault="00DF6C6A" w:rsidP="00DF6C6A">
      <w:pPr>
        <w:spacing w:before="0" w:line="240" w:lineRule="auto"/>
        <w:ind w:firstLine="720"/>
        <w:rPr>
          <w:sz w:val="20"/>
          <w:lang w:val="en-ID"/>
        </w:rPr>
      </w:pPr>
      <w:r w:rsidRPr="00DF6C6A">
        <w:rPr>
          <w:sz w:val="20"/>
          <w:lang w:val="en-ID"/>
        </w:rPr>
        <w:t>Secara rinci, peningkatan keaktifan terlihat pada tiga aspek utama: (1) kemampuan bertanya, di mana jumlah pertanyaan yang diajukan siswa meningkat hampir dua kali lipat dari pertemuan pertama ke pertemuan keempat; (2) keterampilan observasi, yang ditandai dengan semakin lengkapnya catatan pengamatan siswa terhadap objek alam seperti tanaman, batuan, dan serangga di sekitar sekolah; serta (3) interaksi dalam kelompok, di mana siswa lebih terlibat dalam diskusi, berbagi pendapat, dan menyusun kesimpulan bersama. Guru juga mencatat bahwa siswa menunjukkan antusiasme lebih tinggi saat kegiatan pembelajaran dilakukan di luar kelas, misalnya saat mengamati jenis tumbuhan di kebun sekolah atau meneliti perbedaan struktur daun.</w:t>
      </w:r>
    </w:p>
    <w:p w14:paraId="1A4262EB" w14:textId="5EC657A2" w:rsidR="005A1688" w:rsidRDefault="00DF6C6A" w:rsidP="00DF6C6A">
      <w:pPr>
        <w:spacing w:before="0" w:line="240" w:lineRule="auto"/>
        <w:ind w:firstLine="720"/>
        <w:rPr>
          <w:sz w:val="20"/>
          <w:lang w:val="en-ID"/>
        </w:rPr>
      </w:pPr>
      <w:r w:rsidRPr="00DF6C6A">
        <w:rPr>
          <w:sz w:val="20"/>
          <w:lang w:val="en-ID"/>
        </w:rPr>
        <w:t>Hasil ini memperkuat temuan kuantitatif bahwa pembelajaran kontekstual tidak hanya meningkatkan pemahaman konsep IPA, tetapi juga mendorong pengembangan keterampilan sosial dan komunikasi siswa. Dengan memberikan kesempatan belajar melalui pengalaman nyata, siswa menjadi lebih termotivasi, percaya diri, dan aktif dalam mengeksplorasi fenomena alam, sesuai dengan tujuan pembelajaran IPA yang menekankan pada inkuiri ilmiah dan keterlibatan langsung.</w:t>
      </w:r>
    </w:p>
    <w:p w14:paraId="3B1CE9B0" w14:textId="77777777" w:rsidR="00DF6C6A" w:rsidRPr="005A1688" w:rsidRDefault="00DF6C6A" w:rsidP="00DF6C6A">
      <w:pPr>
        <w:spacing w:before="0" w:line="240" w:lineRule="auto"/>
        <w:ind w:firstLine="720"/>
        <w:rPr>
          <w:sz w:val="20"/>
          <w:lang w:val="en-ID"/>
        </w:rPr>
      </w:pPr>
    </w:p>
    <w:p w14:paraId="7FD98EF5" w14:textId="77777777" w:rsidR="005A1688" w:rsidRDefault="005A1688" w:rsidP="005A1688">
      <w:pPr>
        <w:spacing w:before="0" w:line="240" w:lineRule="auto"/>
        <w:ind w:firstLine="720"/>
        <w:rPr>
          <w:b/>
          <w:bCs/>
          <w:sz w:val="20"/>
          <w:lang w:val="en-ID"/>
        </w:rPr>
      </w:pPr>
      <w:r w:rsidRPr="005A1688">
        <w:rPr>
          <w:b/>
          <w:bCs/>
          <w:sz w:val="20"/>
          <w:lang w:val="en-ID"/>
        </w:rPr>
        <w:t>Tabel 2. Rata-rata Skor Keterlibatan Siswa per Pertemuan</w:t>
      </w:r>
    </w:p>
    <w:tbl>
      <w:tblPr>
        <w:tblW w:w="6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349"/>
        <w:gridCol w:w="1315"/>
        <w:gridCol w:w="1470"/>
        <w:gridCol w:w="1161"/>
      </w:tblGrid>
      <w:tr w:rsidR="00DF6C6A" w:rsidRPr="00DF6C6A" w14:paraId="09CD485F" w14:textId="77777777" w:rsidTr="00DF6C6A">
        <w:trPr>
          <w:trHeight w:val="520"/>
        </w:trPr>
        <w:tc>
          <w:tcPr>
            <w:tcW w:w="1694" w:type="dxa"/>
            <w:vAlign w:val="center"/>
            <w:hideMark/>
          </w:tcPr>
          <w:p w14:paraId="6DB29E2F"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Sekolah</w:t>
            </w:r>
          </w:p>
        </w:tc>
        <w:tc>
          <w:tcPr>
            <w:tcW w:w="1377" w:type="dxa"/>
            <w:vAlign w:val="center"/>
            <w:hideMark/>
          </w:tcPr>
          <w:p w14:paraId="786B5A0C"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Pertemuan 1</w:t>
            </w:r>
          </w:p>
        </w:tc>
        <w:tc>
          <w:tcPr>
            <w:tcW w:w="1338" w:type="dxa"/>
            <w:vAlign w:val="center"/>
            <w:hideMark/>
          </w:tcPr>
          <w:p w14:paraId="496A6AA1"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Pertemuan 2</w:t>
            </w:r>
          </w:p>
        </w:tc>
        <w:tc>
          <w:tcPr>
            <w:tcW w:w="1516" w:type="dxa"/>
            <w:vAlign w:val="center"/>
            <w:hideMark/>
          </w:tcPr>
          <w:p w14:paraId="12898E77"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Pertemuan 3</w:t>
            </w:r>
          </w:p>
        </w:tc>
        <w:tc>
          <w:tcPr>
            <w:tcW w:w="975" w:type="dxa"/>
            <w:vAlign w:val="center"/>
            <w:hideMark/>
          </w:tcPr>
          <w:p w14:paraId="422B14E4" w14:textId="77777777" w:rsidR="00DF6C6A" w:rsidRPr="00DF6C6A" w:rsidRDefault="00DF6C6A" w:rsidP="00DF6C6A">
            <w:pPr>
              <w:spacing w:before="0" w:line="240" w:lineRule="auto"/>
              <w:rPr>
                <w:b/>
                <w:bCs/>
                <w:color w:val="000000"/>
                <w:sz w:val="20"/>
                <w:lang w:val="en-ID" w:eastAsia="en-ID"/>
              </w:rPr>
            </w:pPr>
            <w:r w:rsidRPr="00DF6C6A">
              <w:rPr>
                <w:b/>
                <w:bCs/>
                <w:color w:val="000000"/>
                <w:sz w:val="20"/>
                <w:lang w:val="en-ID" w:eastAsia="en-ID"/>
              </w:rPr>
              <w:t>Pertemuan 4</w:t>
            </w:r>
          </w:p>
        </w:tc>
      </w:tr>
      <w:tr w:rsidR="00DF6C6A" w:rsidRPr="00DF6C6A" w14:paraId="046E1055" w14:textId="77777777" w:rsidTr="00DF6C6A">
        <w:trPr>
          <w:trHeight w:val="290"/>
        </w:trPr>
        <w:tc>
          <w:tcPr>
            <w:tcW w:w="1694" w:type="dxa"/>
            <w:vAlign w:val="center"/>
            <w:hideMark/>
          </w:tcPr>
          <w:p w14:paraId="235E1A50"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SDN Parang 1</w:t>
            </w:r>
          </w:p>
        </w:tc>
        <w:tc>
          <w:tcPr>
            <w:tcW w:w="1377" w:type="dxa"/>
            <w:vAlign w:val="center"/>
            <w:hideMark/>
          </w:tcPr>
          <w:p w14:paraId="6C243292"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71,25</w:t>
            </w:r>
          </w:p>
        </w:tc>
        <w:tc>
          <w:tcPr>
            <w:tcW w:w="1338" w:type="dxa"/>
            <w:vAlign w:val="center"/>
            <w:hideMark/>
          </w:tcPr>
          <w:p w14:paraId="43B4FE21"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78,4</w:t>
            </w:r>
          </w:p>
        </w:tc>
        <w:tc>
          <w:tcPr>
            <w:tcW w:w="1516" w:type="dxa"/>
            <w:vAlign w:val="center"/>
            <w:hideMark/>
          </w:tcPr>
          <w:p w14:paraId="118611D5"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84,35</w:t>
            </w:r>
          </w:p>
        </w:tc>
        <w:tc>
          <w:tcPr>
            <w:tcW w:w="975" w:type="dxa"/>
            <w:vAlign w:val="center"/>
            <w:hideMark/>
          </w:tcPr>
          <w:p w14:paraId="5F66C3B0"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88,5</w:t>
            </w:r>
          </w:p>
        </w:tc>
      </w:tr>
      <w:tr w:rsidR="00DF6C6A" w:rsidRPr="00DF6C6A" w14:paraId="711DBA9F" w14:textId="77777777" w:rsidTr="00DF6C6A">
        <w:trPr>
          <w:trHeight w:val="290"/>
        </w:trPr>
        <w:tc>
          <w:tcPr>
            <w:tcW w:w="1694" w:type="dxa"/>
            <w:vAlign w:val="center"/>
            <w:hideMark/>
          </w:tcPr>
          <w:p w14:paraId="0D7534BF"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SDN Unggulan</w:t>
            </w:r>
          </w:p>
        </w:tc>
        <w:tc>
          <w:tcPr>
            <w:tcW w:w="1377" w:type="dxa"/>
            <w:vAlign w:val="center"/>
            <w:hideMark/>
          </w:tcPr>
          <w:p w14:paraId="647528C6"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73,1</w:t>
            </w:r>
          </w:p>
        </w:tc>
        <w:tc>
          <w:tcPr>
            <w:tcW w:w="1338" w:type="dxa"/>
            <w:vAlign w:val="center"/>
            <w:hideMark/>
          </w:tcPr>
          <w:p w14:paraId="7DAA2644"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79,2</w:t>
            </w:r>
          </w:p>
        </w:tc>
        <w:tc>
          <w:tcPr>
            <w:tcW w:w="1516" w:type="dxa"/>
            <w:vAlign w:val="center"/>
            <w:hideMark/>
          </w:tcPr>
          <w:p w14:paraId="038B05F4"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85,6</w:t>
            </w:r>
          </w:p>
        </w:tc>
        <w:tc>
          <w:tcPr>
            <w:tcW w:w="975" w:type="dxa"/>
            <w:vAlign w:val="center"/>
            <w:hideMark/>
          </w:tcPr>
          <w:p w14:paraId="07700FE0" w14:textId="77777777" w:rsidR="00DF6C6A" w:rsidRPr="00DF6C6A" w:rsidRDefault="00DF6C6A" w:rsidP="00DF6C6A">
            <w:pPr>
              <w:spacing w:before="0" w:line="240" w:lineRule="auto"/>
              <w:rPr>
                <w:color w:val="000000"/>
                <w:sz w:val="20"/>
                <w:lang w:val="en-ID" w:eastAsia="en-ID"/>
              </w:rPr>
            </w:pPr>
            <w:r w:rsidRPr="00DF6C6A">
              <w:rPr>
                <w:color w:val="000000"/>
                <w:sz w:val="20"/>
                <w:lang w:val="en-ID" w:eastAsia="en-ID"/>
              </w:rPr>
              <w:t>89,3</w:t>
            </w:r>
          </w:p>
        </w:tc>
      </w:tr>
    </w:tbl>
    <w:p w14:paraId="51AAD4E4" w14:textId="77777777" w:rsidR="00DF6C6A" w:rsidRPr="005A1688" w:rsidRDefault="00DF6C6A" w:rsidP="005A1688">
      <w:pPr>
        <w:spacing w:before="0" w:line="240" w:lineRule="auto"/>
        <w:ind w:firstLine="720"/>
        <w:rPr>
          <w:sz w:val="20"/>
          <w:lang w:val="en-ID"/>
        </w:rPr>
      </w:pPr>
    </w:p>
    <w:p w14:paraId="2D39E7AF" w14:textId="77777777" w:rsidR="005A1688" w:rsidRDefault="005A1688" w:rsidP="005A1688">
      <w:pPr>
        <w:spacing w:before="0" w:line="240" w:lineRule="auto"/>
        <w:ind w:firstLine="720"/>
        <w:rPr>
          <w:sz w:val="20"/>
          <w:lang w:val="en-ID"/>
        </w:rPr>
      </w:pPr>
      <w:r w:rsidRPr="005A1688">
        <w:rPr>
          <w:sz w:val="20"/>
          <w:lang w:val="en-ID"/>
        </w:rPr>
        <w:t>Skor keterlibatan siswa menunjukkan tren meningkat di setiap pertemuan. Peningkatan paling signifikan terjadi antara pertemuan pertama dan kedua ketika guru mulai memanfaatkan lingkungan sekitar sekolah seperti kebun dan taman sebagai sumber belajar.</w:t>
      </w:r>
    </w:p>
    <w:p w14:paraId="349A145E" w14:textId="77777777" w:rsidR="00DF6C6A" w:rsidRPr="005A1688" w:rsidRDefault="00DF6C6A" w:rsidP="005A1688">
      <w:pPr>
        <w:spacing w:before="0" w:line="240" w:lineRule="auto"/>
        <w:ind w:firstLine="720"/>
        <w:rPr>
          <w:sz w:val="20"/>
          <w:lang w:val="en-ID"/>
        </w:rPr>
      </w:pPr>
    </w:p>
    <w:p w14:paraId="2179E983" w14:textId="77777777" w:rsidR="005A1688" w:rsidRPr="005A1688" w:rsidRDefault="005A1688" w:rsidP="00DF6C6A">
      <w:pPr>
        <w:spacing w:before="0" w:line="240" w:lineRule="auto"/>
        <w:rPr>
          <w:b/>
          <w:bCs/>
          <w:sz w:val="20"/>
          <w:lang w:val="en-ID"/>
        </w:rPr>
      </w:pPr>
      <w:r w:rsidRPr="005A1688">
        <w:rPr>
          <w:b/>
          <w:bCs/>
          <w:sz w:val="20"/>
          <w:lang w:val="en-ID"/>
        </w:rPr>
        <w:t>3. Hasil Wawancara Guru</w:t>
      </w:r>
    </w:p>
    <w:p w14:paraId="6509847F" w14:textId="193DE33E" w:rsidR="00647D6A" w:rsidRPr="00647D6A" w:rsidRDefault="00647D6A" w:rsidP="00647D6A">
      <w:pPr>
        <w:spacing w:before="0" w:line="240" w:lineRule="auto"/>
        <w:ind w:firstLine="720"/>
        <w:rPr>
          <w:sz w:val="20"/>
          <w:lang w:val="en-ID"/>
        </w:rPr>
      </w:pPr>
      <w:r w:rsidRPr="00647D6A">
        <w:rPr>
          <w:sz w:val="20"/>
          <w:lang w:val="en-ID"/>
        </w:rPr>
        <w:t>Data kualitatif diperoleh melalui wawancara mendalam dengan guru kelas V di SDN Parang 1 dan SDN Unggulan, yang memberikan gambaran lebih komprehensif mengenai pengalaman mereka dalam menerapkan pembelajaran kontekstual berbasis lingkungan. Secara umum, guru menyatakan bahwa pendekatan ini membuat siswa lebih mudah memahami konsep-konsep IPA karena mereka dapat mengamati langsung fenomena alam yang relevan dengan materi. Melalui kegiatan di luar kelas, siswa tidak hanya menerima informasi secara verbal, tetapi juga memprosesnya melalui pengalaman nyata, seperti melakukan pengamatan terhadap proses fotosintesis, pertumbuhan tanaman, dan interaksi makhluk hidup dengan lingkungannya. Guru menekankan bahwa pembelajaran kontekstual membantu siswa menghubungkan teori dengan realitas sehari-hari, sehingga konsep sains menjadi lebih konkret dan bermakna.</w:t>
      </w:r>
    </w:p>
    <w:p w14:paraId="0C3E59C6" w14:textId="76436E8D" w:rsidR="00647D6A" w:rsidRPr="00647D6A" w:rsidRDefault="00647D6A" w:rsidP="00647D6A">
      <w:pPr>
        <w:spacing w:before="0" w:line="240" w:lineRule="auto"/>
        <w:ind w:firstLine="720"/>
        <w:rPr>
          <w:sz w:val="20"/>
          <w:lang w:val="en-ID"/>
        </w:rPr>
      </w:pPr>
      <w:r w:rsidRPr="00647D6A">
        <w:rPr>
          <w:sz w:val="20"/>
          <w:lang w:val="en-ID"/>
        </w:rPr>
        <w:t>Meskipun manfaatnya jelas terasa, guru juga mengungkapkan beberapa kendala yang dihadapi selama proses pembelajaran. Keterbatasan waktu menjadi tantangan utama, terutama ketika kegiatan pengamatan di luar kelas membutuhkan durasi yang lebih panjang daripada pembelajaran konvensional di dalam kelas. Selain itu, kesiapan media dan sarana pendukung seperti alat tulis, lembar kerja, serta peralatan pengamatan juga perlu direncanakan dengan baik agar proses belajar berjalan lancar. Guru menambahkan bahwa pembelajaran di luar kelas menuntut perencanaan yang matang, termasuk dalam hal pengaturan jadwal, penentuan lokasi aman, dan pembagian kelompok siswa, guna memastikan kegiatan lapangan berlangsung tertib dan efektif.</w:t>
      </w:r>
    </w:p>
    <w:p w14:paraId="4A13BEB7" w14:textId="70694888" w:rsidR="00647D6A" w:rsidRPr="00647D6A" w:rsidRDefault="00647D6A" w:rsidP="00647D6A">
      <w:pPr>
        <w:spacing w:before="0" w:line="240" w:lineRule="auto"/>
        <w:ind w:firstLine="720"/>
        <w:rPr>
          <w:sz w:val="20"/>
          <w:lang w:val="en-ID"/>
        </w:rPr>
      </w:pPr>
      <w:r w:rsidRPr="00647D6A">
        <w:rPr>
          <w:sz w:val="20"/>
          <w:lang w:val="en-ID"/>
        </w:rPr>
        <w:t>Guru SDN Parang 1 menyampaikan bahwa siswa menunjukkan semangat belajar yang lebih tinggi ketika diajak belajar di taman sekolah. Menurutnya, kesempatan untuk melihat langsung tumbuhan yang sedang dibahas membantu siswa lebih mudah memahami konsep fotosintesis. Pernyataan ini menegaskan bahwa pembelajaran berbasis pengalaman langsung dapat meningkatkan motivasi dan ketertarikan siswa terhadap mata pelajaran IPA.</w:t>
      </w:r>
    </w:p>
    <w:p w14:paraId="1BAEAED4" w14:textId="7288426D" w:rsidR="00647D6A" w:rsidRPr="00647D6A" w:rsidRDefault="00647D6A" w:rsidP="00647D6A">
      <w:pPr>
        <w:spacing w:before="0" w:line="240" w:lineRule="auto"/>
        <w:ind w:firstLine="720"/>
        <w:rPr>
          <w:sz w:val="20"/>
          <w:lang w:val="en-ID"/>
        </w:rPr>
      </w:pPr>
      <w:r w:rsidRPr="00647D6A">
        <w:rPr>
          <w:sz w:val="20"/>
          <w:lang w:val="en-ID"/>
        </w:rPr>
        <w:t>Sementara itu, guru SDN Unggulan mengungkapkan bahwa kegiatan belajar di luar kelas mendorong siswa untuk lebih aktif bertanya dan berdiskusi. Namun, ia juga menekankan adanya tantangan dalam pengaturan waktu dan menjaga fokus seluruh siswa selama proses pembelajaran berlangsung.</w:t>
      </w:r>
    </w:p>
    <w:p w14:paraId="1F5F4C8F" w14:textId="7C0FBF9E" w:rsidR="005A1688" w:rsidRPr="005A1688" w:rsidRDefault="00647D6A" w:rsidP="00647D6A">
      <w:pPr>
        <w:spacing w:before="0" w:line="240" w:lineRule="auto"/>
        <w:ind w:firstLine="720"/>
        <w:rPr>
          <w:sz w:val="20"/>
          <w:lang w:val="en-ID"/>
        </w:rPr>
      </w:pPr>
      <w:r>
        <w:rPr>
          <w:sz w:val="20"/>
          <w:lang w:val="en-ID"/>
        </w:rPr>
        <w:t>Pernyataan</w:t>
      </w:r>
      <w:r w:rsidRPr="00647D6A">
        <w:rPr>
          <w:sz w:val="20"/>
          <w:lang w:val="en-ID"/>
        </w:rPr>
        <w:t xml:space="preserve"> ini menunjukkan bahwa meskipun kegiatan lapangan mendorong keaktifan dan rasa ingin tahu siswa, guru tetap harus memperhatikan manajemen waktu dan kontrol kelas agar tujuan pembelajaran dapat tercapai. Secara keseluruhan, wawancara guru mengonfirmasi bahwa pembelajaran kontekstual memiliki dampak positif ganda, yakni meningkatkan pemahaman konsep IPA sekaligus menumbuhkan keterampilan sosial, kemandirian, dan keaktifan siswa, dengan catatan diperlukan perencanaan dan dukungan fasilitas yang memadai untuk mengatasi berbagai kendala yang mungkin muncul.</w:t>
      </w:r>
    </w:p>
    <w:p w14:paraId="352A05CA" w14:textId="7F6E399C" w:rsidR="006D10A7" w:rsidRPr="001F6F9D" w:rsidRDefault="006D10A7" w:rsidP="00B977EB">
      <w:pPr>
        <w:spacing w:before="0" w:line="240" w:lineRule="auto"/>
        <w:ind w:firstLine="720"/>
        <w:rPr>
          <w:sz w:val="20"/>
          <w:lang w:val="en"/>
        </w:rPr>
      </w:pPr>
    </w:p>
    <w:p w14:paraId="282CF0E6" w14:textId="0A99065E" w:rsidR="006D10A7" w:rsidRPr="001F6F9D" w:rsidRDefault="0036384D" w:rsidP="00B977EB">
      <w:pPr>
        <w:spacing w:before="0" w:line="240" w:lineRule="auto"/>
        <w:rPr>
          <w:b/>
          <w:sz w:val="20"/>
          <w:lang w:val="sv-SE"/>
        </w:rPr>
      </w:pPr>
      <w:r>
        <w:rPr>
          <w:b/>
          <w:sz w:val="20"/>
          <w:lang w:val="sv-SE"/>
        </w:rPr>
        <w:lastRenderedPageBreak/>
        <w:t>Pembahasan</w:t>
      </w:r>
    </w:p>
    <w:p w14:paraId="4811FAFE" w14:textId="16D7EF79" w:rsidR="00647D6A" w:rsidRPr="00647D6A" w:rsidRDefault="00647D6A" w:rsidP="00647D6A">
      <w:pPr>
        <w:spacing w:before="0" w:line="240" w:lineRule="auto"/>
        <w:ind w:firstLine="720"/>
        <w:rPr>
          <w:sz w:val="20"/>
        </w:rPr>
      </w:pPr>
      <w:r w:rsidRPr="00647D6A">
        <w:rPr>
          <w:sz w:val="20"/>
        </w:rPr>
        <w:t>Hasil penelitian menunjukkan bahwa penerapan pembelajaran sains kontekstual berbasis lingkungan secara signifikan meningkatkan pemahaman konsep IPA siswa di SDN Parang 1 dan SDN Unggulan. Peningkatan nilai rata-rata pretest dan posttest yang mencapai 18,81 poin menegaskan bahwa keterlibatan siswa dalam aktivitas belajar yang relevan dengan kehidupan nyata memberikan pengalaman bermakna yang mampu memperkuat konstruksi pengetahuan mereka (Rahmawati &amp; Widodo, 2022; Nisa et al., 2023). Temuan ini sejalan dengan teori konstruktivisme yang menekankan pentingnya pengalaman langsung dalam proses pembelajaran agar siswa dapat menghubungkan konsep ilmiah dengan fenomena sehari-hari</w:t>
      </w:r>
      <w:r>
        <w:rPr>
          <w:sz w:val="20"/>
        </w:rPr>
        <w:t>.</w:t>
      </w:r>
    </w:p>
    <w:p w14:paraId="6EC76183" w14:textId="750ABDEF" w:rsidR="00647D6A" w:rsidRPr="00647D6A" w:rsidRDefault="00647D6A" w:rsidP="00647D6A">
      <w:pPr>
        <w:spacing w:before="0" w:line="240" w:lineRule="auto"/>
        <w:ind w:firstLine="720"/>
        <w:rPr>
          <w:sz w:val="20"/>
        </w:rPr>
      </w:pPr>
      <w:r w:rsidRPr="00647D6A">
        <w:rPr>
          <w:sz w:val="20"/>
        </w:rPr>
        <w:t>Peningkatan pemahaman konsep ini menunjukkan bahwa pembelajaran tidak hanya sekadar proses transfer informasi dari guru ke siswa, tetapi juga merupakan proses aktif membangun pengetahuan melalui interaksi dengan lingkungan. Dalam konteks ini, siswa berperan sebagai subjek yang secara mandiri mengeksplorasi, mengamati, dan menafsirkan fenomena alam di sekitarnya. Proses ini mendukung terciptanya meaningful learning, di mana pengetahuan yang diperoleh tidak hanya bersifat hafalan, tetapi juga terinternalisasi dan dapat diaplikasikan dalam situasi nyata (Pranata et al., 2023).</w:t>
      </w:r>
    </w:p>
    <w:p w14:paraId="58F4706D" w14:textId="3BC5C070" w:rsidR="00647D6A" w:rsidRPr="00647D6A" w:rsidRDefault="00647D6A" w:rsidP="00647D6A">
      <w:pPr>
        <w:spacing w:before="0" w:line="240" w:lineRule="auto"/>
        <w:ind w:firstLine="720"/>
        <w:rPr>
          <w:sz w:val="20"/>
        </w:rPr>
      </w:pPr>
      <w:r w:rsidRPr="00647D6A">
        <w:rPr>
          <w:sz w:val="20"/>
        </w:rPr>
        <w:t xml:space="preserve">Lebih lanjut, keterlibatan siswa dalam kegiatan belajar berbasis lingkungan, seperti mengamati proses fotosintesis pada tumbuhan sekitar sekolah, memungkinkan terjadinya hands-on dan minds-on activity secara bersamaan. Aktivitas fisik dalam mengamati dan mencatat fenomena alam, dipadukan dengan aktivitas mental berupa analisis dan penarikan kesimpulan, menciptakan pembelajaran yang lebih komprehensif dan mendalam </w:t>
      </w:r>
      <w:proofErr w:type="gramStart"/>
      <w:r w:rsidRPr="00647D6A">
        <w:rPr>
          <w:sz w:val="20"/>
        </w:rPr>
        <w:t>( Fauziah</w:t>
      </w:r>
      <w:proofErr w:type="gramEnd"/>
      <w:r w:rsidRPr="00647D6A">
        <w:rPr>
          <w:sz w:val="20"/>
        </w:rPr>
        <w:t xml:space="preserve"> et al., 2021). Kegiatan ini juga membantu siswa mengembangkan keterampilan ilmiah seperti merumuskan hipotesis, menguji prediksi, dan menarik kesimpulan berdasarkan bukti empiris (Hidayati &amp; Prasetyo, 2022).</w:t>
      </w:r>
    </w:p>
    <w:p w14:paraId="27CF230D" w14:textId="14AC083F" w:rsidR="00647D6A" w:rsidRPr="00647D6A" w:rsidRDefault="00647D6A" w:rsidP="00647D6A">
      <w:pPr>
        <w:spacing w:before="0" w:line="240" w:lineRule="auto"/>
        <w:ind w:firstLine="720"/>
        <w:rPr>
          <w:sz w:val="20"/>
        </w:rPr>
      </w:pPr>
      <w:r w:rsidRPr="00647D6A">
        <w:rPr>
          <w:sz w:val="20"/>
        </w:rPr>
        <w:t>Selain itu, temuan ini mengonfirmasi bahwa pembelajaran kontekstual mendorong terjadinya proses konstruksi sosial melalui interaksi antar siswa. Diskusi kelompok, tanya jawab, dan kerja sama dalam mengamati fenomena alam memungkinkan terjadinya pertukaran ide yang memperkaya pemahaman konsep sains (Wibowo et al., 2023; Astuti &amp; Marlina, 2021). Interaksi sosial ini sesuai dengan pandangan Vygotsky (1978) tentang zone of proximal development, di mana siswa dapat mencapai tingkat pemahaman yang lebih tinggi melalui bimbingan teman sebaya atau guru</w:t>
      </w:r>
      <w:r>
        <w:rPr>
          <w:sz w:val="20"/>
        </w:rPr>
        <w:t>.</w:t>
      </w:r>
    </w:p>
    <w:p w14:paraId="0395EFE8" w14:textId="77777777" w:rsidR="00647D6A" w:rsidRDefault="00647D6A" w:rsidP="00647D6A">
      <w:pPr>
        <w:spacing w:before="0" w:line="240" w:lineRule="auto"/>
        <w:ind w:firstLine="720"/>
        <w:rPr>
          <w:sz w:val="20"/>
        </w:rPr>
      </w:pPr>
      <w:r w:rsidRPr="00647D6A">
        <w:rPr>
          <w:sz w:val="20"/>
        </w:rPr>
        <w:t>Penerapan pembelajaran berbasis lingkungan juga menumbuhkan rasa kepedulian siswa terhadap alam dan meningkatkan literasi ekologis mereka. Dengan belajar langsung dari lingkungan sekitar, siswa tidak hanya memahami konsep ilmiah seperti siklus air atau proses fotosintesis, tetapi juga mengembangkan kesadaran tentang pentingnya menjaga kelestarian alam (OECD, 2021; Yuliani et al., 2022). Dengan demikian, pembelajaran sains kontekstual tidak hanya berdampak pada ranah kognitif, tetapi juga membentuk sikap positif terhadap lingkungan yang relevan dengan tujuan pendidikan abad ke-21 (Kemendikbudristek, 2022).</w:t>
      </w:r>
      <w:r>
        <w:rPr>
          <w:sz w:val="20"/>
        </w:rPr>
        <w:t xml:space="preserve"> </w:t>
      </w:r>
      <w:r w:rsidRPr="00647D6A">
        <w:rPr>
          <w:sz w:val="20"/>
        </w:rPr>
        <w:t>Secara keseluruhan, peningkatan signifikan pada pemahaman konsep IPA di kedua sekolah ini menunjukkan bahwa pembelajaran sains kontekstual berbasis lingkungan merupakan strategi yang efektif dan relevan dalam mengembangkan kompetensi siswa, sekaligus mendukung implementasi Kurikulum Merdeka yang menekankan keterkaitan antara materi pembelajaran dengan konteks kehidupan nyata (Suwarto et al., 2022; Handayani et al., 2023</w:t>
      </w:r>
      <w:proofErr w:type="gramStart"/>
      <w:r w:rsidRPr="00647D6A">
        <w:rPr>
          <w:sz w:val="20"/>
        </w:rPr>
        <w:t>).</w:t>
      </w:r>
      <w:r>
        <w:rPr>
          <w:sz w:val="20"/>
        </w:rPr>
        <w:t>.</w:t>
      </w:r>
      <w:proofErr w:type="gramEnd"/>
    </w:p>
    <w:p w14:paraId="11FEC6CC" w14:textId="77777777" w:rsidR="00647D6A" w:rsidRDefault="00647D6A" w:rsidP="00647D6A">
      <w:pPr>
        <w:spacing w:before="0" w:line="240" w:lineRule="auto"/>
        <w:ind w:firstLine="720"/>
        <w:rPr>
          <w:sz w:val="20"/>
        </w:rPr>
      </w:pPr>
      <w:r w:rsidRPr="00647D6A">
        <w:rPr>
          <w:sz w:val="20"/>
        </w:rPr>
        <w:t>Pembelajaran kontekstual memberikan kesempatan kepada siswa untuk mengamati fenomena alam secara langsung, seperti proses fotosintesis pada tumbuhan di sekitar sekolah, sehingga konsep IPA tidak hanya dipahami secara verbal tetapi juga melalui pengalaman empiris (Fauziah et al., 2021). Observasi lapangan, diskusi kelompok, dan pengamatan langsung memungkinkan siswa membangun hubungan antara teori dan praktik, yang terbukti meningkatkan retensi dan transfer pengetahuan (Hidayati &amp; Prasetyo, 2022). Peningkatan skor keterlibatan siswa dari kategori “cukup” menjadi “sangat baik” mendukung pandangan bahwa keaktifan siswa merupakan indikator penting keberhasilan pembelajaran sains (Pranata et al., 2023).</w:t>
      </w:r>
    </w:p>
    <w:p w14:paraId="143D9EAD" w14:textId="77777777" w:rsidR="00647D6A" w:rsidRDefault="00647D6A" w:rsidP="00647D6A">
      <w:pPr>
        <w:spacing w:before="0" w:line="240" w:lineRule="auto"/>
        <w:ind w:firstLine="720"/>
        <w:rPr>
          <w:sz w:val="20"/>
        </w:rPr>
      </w:pPr>
      <w:r w:rsidRPr="00647D6A">
        <w:rPr>
          <w:sz w:val="20"/>
        </w:rPr>
        <w:t>Selain meningkatkan pemahaman konsep, pembelajaran kontekstual juga terbukti menumbuhkan keterampilan berpikir kritis dan pemecahan masalah. Siswa diajak untuk mengidentifikasi permasalahan lingkungan, merumuskan hipotesis, dan melakukan pengamatan untuk memperoleh bukti ilmiah. Kegiatan ini sesuai dengan prinsip inkuiri ilmiah yang direkomendasikan dalam Kurikulum Merdeka, yaitu mendorong siswa untuk aktif bertanya dan mencari jawaban melalui aktivitas eksploratif (Kemendikbudristek, 2022; Astuti &amp; Marlina, 2021). Dengan demikian, pembelajaran kontekstual tidak hanya mengembangkan aspek kognitif, tetapi juga keterampilan proses sains yang penting untuk menghadapi tantangan abad ke-21 (OECD, 2021).</w:t>
      </w:r>
    </w:p>
    <w:p w14:paraId="0671EA76" w14:textId="08F403AC" w:rsidR="00647D6A" w:rsidRPr="00647D6A" w:rsidRDefault="00647D6A" w:rsidP="00647D6A">
      <w:pPr>
        <w:spacing w:before="0" w:line="240" w:lineRule="auto"/>
        <w:ind w:firstLine="720"/>
        <w:rPr>
          <w:sz w:val="20"/>
        </w:rPr>
      </w:pPr>
      <w:r w:rsidRPr="00647D6A">
        <w:rPr>
          <w:sz w:val="20"/>
        </w:rPr>
        <w:t>Wawancara dengan guru mengungkapkan bahwa siswa lebih mudah memahami materi ketika mereka terlibat langsung dalam pembelajaran. Guru SDN Parang 1 menekankan bahwa kegiatan belajar di taman sekolah memudahkan siswa dalam memahami konsep fotosintesis karena mereka dapat melihat objek nyata. Hal ini mendukung pendapat Johnson (2002) yang menyatakan bahwa pembelajaran kontekstual efektif karena menghubungkan isi pelajaran dengan situasi dunia nyata. Sementara itu, guru SDN Unggulan menyoroti tantangan dalam pengelolaan waktu dan menjaga fokus siswa, yang menunjukkan bahwa meskipun metode ini efektif, diperlukan perencanaan yang matang agar pembelajaran di luar kelas dapat berlangsung optimal (Susanti &amp; Lestari, 2022).</w:t>
      </w:r>
    </w:p>
    <w:p w14:paraId="38A2C177" w14:textId="1AFD0760" w:rsidR="00647D6A" w:rsidRPr="00647D6A" w:rsidRDefault="00647D6A" w:rsidP="00647D6A">
      <w:pPr>
        <w:spacing w:before="0" w:line="240" w:lineRule="auto"/>
        <w:ind w:firstLine="720"/>
        <w:rPr>
          <w:sz w:val="20"/>
        </w:rPr>
      </w:pPr>
      <w:r w:rsidRPr="00647D6A">
        <w:rPr>
          <w:sz w:val="20"/>
        </w:rPr>
        <w:lastRenderedPageBreak/>
        <w:t>Kendala waktu dan kesiapan media pembelajaran yang diungkapkan guru juga sejalan dengan temuan penelitian sebelumnya yang menyatakan bahwa pembelajaran berbasis lingkungan memerlukan dukungan sarana dan pengaturan jadwal yang baik untuk memastikan keamanan dan efektivitas kegiatan (Nurhidayah et al., 2021). Oleh karena itu, kolaborasi antara guru, sekolah, dan pihak terkait diperlukan untuk memfasilitasi kegiatan pembelajaran yang memanfaatkan potensi lingkungan sekitar sebagai sumber belajar.</w:t>
      </w:r>
    </w:p>
    <w:p w14:paraId="53A99555" w14:textId="7810AE03" w:rsidR="00FA0982" w:rsidRDefault="00647D6A" w:rsidP="00647D6A">
      <w:pPr>
        <w:spacing w:before="0" w:line="240" w:lineRule="auto"/>
        <w:ind w:firstLine="720"/>
        <w:rPr>
          <w:sz w:val="20"/>
        </w:rPr>
      </w:pPr>
      <w:r w:rsidRPr="00647D6A">
        <w:rPr>
          <w:sz w:val="20"/>
        </w:rPr>
        <w:t> </w:t>
      </w:r>
      <w:r w:rsidRPr="00647D6A">
        <w:rPr>
          <w:sz w:val="20"/>
        </w:rPr>
        <w:t>Secara keseluruhan, hasil penelitian ini memperkuat bukti empiris bahwa pembelajaran kontekstual berbasis lingkungan tidak hanya meningkatkan pemahaman konsep IPA, tetapi juga menumbuhkan minat, motivasi, dan keaktifan siswa (Handayani et al., 2023). Keberhasilan penerapan metode ini di SDN Parang 1 dan SDN Unggulan menunjukkan bahwa pendekatan serupa dapat diadaptasi di sekolah lain, terutama yang memiliki akses terhadap sumber daya alam di sekitar lingkungan belajar. Dengan dukungan pelatihan guru dan penyediaan media pembelajaran yang memadai, pembelajaran kontekstual dapat menjadi strategi efektif dalam meningkatkan kualitas pendidikan sains di sekolah dasar (Yuliani et al., 2022).</w:t>
      </w:r>
    </w:p>
    <w:p w14:paraId="22393AA2" w14:textId="77777777" w:rsidR="00647D6A" w:rsidRPr="001F6F9D" w:rsidRDefault="00647D6A" w:rsidP="00647D6A">
      <w:pPr>
        <w:spacing w:before="0" w:line="240" w:lineRule="auto"/>
        <w:ind w:firstLine="720"/>
        <w:rPr>
          <w:noProof/>
          <w:sz w:val="20"/>
          <w:szCs w:val="24"/>
          <w:lang w:val="en-US"/>
        </w:rPr>
      </w:pPr>
    </w:p>
    <w:p w14:paraId="38F2EE8E" w14:textId="1B36B6B0" w:rsidR="00D31347" w:rsidRPr="00983AEC" w:rsidRDefault="007823C2" w:rsidP="00983AEC">
      <w:pPr>
        <w:pStyle w:val="Heading1"/>
        <w:numPr>
          <w:ilvl w:val="0"/>
          <w:numId w:val="35"/>
        </w:numPr>
        <w:spacing w:before="120" w:after="120" w:line="240" w:lineRule="auto"/>
        <w:ind w:left="360"/>
        <w:jc w:val="left"/>
        <w:rPr>
          <w:b w:val="0"/>
          <w:szCs w:val="24"/>
        </w:rPr>
      </w:pPr>
      <w:r>
        <w:t>SIMPULAN</w:t>
      </w:r>
    </w:p>
    <w:p w14:paraId="18D9DE1C" w14:textId="52A08257" w:rsidR="00E8519B" w:rsidRPr="00E8519B" w:rsidRDefault="00E8519B" w:rsidP="00E8519B">
      <w:pPr>
        <w:spacing w:before="0" w:line="240" w:lineRule="auto"/>
        <w:ind w:firstLine="709"/>
        <w:rPr>
          <w:bCs/>
          <w:sz w:val="20"/>
        </w:rPr>
      </w:pPr>
      <w:r w:rsidRPr="00E8519B">
        <w:rPr>
          <w:bCs/>
          <w:sz w:val="20"/>
        </w:rPr>
        <w:t>Berdasarkan hasil penelitian yang telah dilakukan, dapat disimpulkan bahwa penerapan pembelajaran sains kontekstual berbasis lingkungan efektif dalam meningkatkan pemahaman konsep IPA siswa di SDN Parang 1 dan SDN Unggulan. Peningkatan nilai rata-rata pretest dan posttest yang mencapai 18,81 poin menunjukkan bahwa keterlibatan siswa dalam aktivitas pembelajaran yang memanfaatkan sumber daya alam sekitar mampu menciptakan pengalaman belajar yang bermakna dan mendukung proses konstruksi pengetahuan secara aktif. Pembelajaran kontekstual tidak hanya berdampak pada peningkatan kemampuan kognitif siswa, tetapi juga mendorong keterampilan berpikir kritis, kemampuan bekerja sama, serta kesadaran ekologis melalui kegiatan pengamatan langsung, diskusi kelompok, dan pemecahan masalah berbasis fenomena nyata di lingkungan sekitar sekolah. Temuan ini menegaskan bahwa lingkungan sekitar dapat menjadi laboratorium alami yang efektif untuk menghubungkan konsep sains dengan kehidupan sehari-hari, sesuai dengan prinsip Kurikulum Merdeka yang menekankan pembelajaran berbasis kompetensi dan kontekstual. Dengan demikian, pembelajaran sains kontekstual berbasis lingkungan direkomendasikan sebagai alternatif strategi pembelajaran IPA di sekolah dasar. Implementasi model ini memerlukan perencanaan yang matang, dukungan sarana yang memadai, serta keterampilan guru dalam merancang aktivitas belajar yang aman, menarik, dan relevan, sehingga tujuan pembelajaran dapat tercapai secara optimal.</w:t>
      </w:r>
    </w:p>
    <w:p w14:paraId="722A9ABB" w14:textId="0A39488A" w:rsidR="00E8519B" w:rsidRPr="00E8519B" w:rsidRDefault="00E8519B" w:rsidP="00E8519B">
      <w:pPr>
        <w:spacing w:before="0" w:line="240" w:lineRule="auto"/>
        <w:ind w:firstLine="709"/>
        <w:rPr>
          <w:bCs/>
          <w:sz w:val="20"/>
        </w:rPr>
      </w:pPr>
      <w:r w:rsidRPr="00E8519B">
        <w:rPr>
          <w:bCs/>
          <w:sz w:val="20"/>
        </w:rPr>
        <w:t>Sejalan dengan kesimpulan tersebut, beberapa saran dan rekomendasi dapat diajukan. Bagi guru dan sekolah dasar, disarankan untuk lebih memanfaatkan potensi lingkungan sekitar sebagai sumber belajar dalam pembelajaran IPA. Perencanaan yang matang perlu dilakukan, termasuk pemilihan lokasi yang aman, penyediaan media pembelajaran, serta penyusunan jadwal kegiatan agar pembelajaran kontekstual dapat berlangsung efektif dan efisien. Sekolah juga diharapkan mendukung dengan menyediakan sarana dan prasarana, seperti kebun sekolah, taman, atau area hijau yang dapat dijadikan laboratorium alam sederhana. Bagi pengambil kebijakan pendidikan, seperti Dinas Pendidikan dan pihak terkait, direkomendasikan untuk memberikan pelatihan dan pendampingan kepada guru terkait pengembangan pembelajaran kontekstual berbasis lingkungan. Program pelatihan dapat mencakup perencanaan kegiatan lapangan, manajemen waktu, serta metode evaluasi yang sesuai dengan pendekatan kontekstual, sehingga guru memiliki kompetensi yang memadai untuk menerapkannya secara berkelanjutan.</w:t>
      </w:r>
    </w:p>
    <w:p w14:paraId="3BAA1953" w14:textId="677EE58D" w:rsidR="00983AEC" w:rsidRDefault="00E8519B" w:rsidP="00E8519B">
      <w:pPr>
        <w:spacing w:before="0" w:line="240" w:lineRule="auto"/>
        <w:ind w:firstLine="709"/>
        <w:rPr>
          <w:bCs/>
          <w:sz w:val="20"/>
          <w:lang w:val="en-US"/>
        </w:rPr>
      </w:pPr>
      <w:r w:rsidRPr="00E8519B">
        <w:rPr>
          <w:bCs/>
          <w:sz w:val="20"/>
        </w:rPr>
        <w:t xml:space="preserve">Selain itu, bagi peneliti selanjutnya, penelitian ini dapat dikembangkan dengan memperluas cakupan variabel, seperti pengaruh pembelajaran kontekstual terhadap literasi sains, keterampilan berpikir kritis, atau sikap peduli lingkungan siswa. Penelitian dengan desain eksperimen yang melibatkan lebih banyak sekolah dan jenjang kelas berbeda juga dapat memberikan gambaran yang lebih komprehensif mengenai efektivitas model pembelajaran ini. Bagi orang tua dan masyarakat, keterlibatan aktif sangat diperlukan untuk mendukung kegiatan belajar berbasis lingkungan, misalnya dengan menyediakan akses ke area alam sekitar atau bekerja sama dalam menciptakan lingkungan rumah dan sekolah yang kaya akan pengalaman sains. Kolaborasi ini akan memperkuat keterkaitan antara pengalaman belajar di sekolah dan kehidupan sehari-hari siswa. Dengan penerapan saran dan rekomendasi tersebut, pembelajaran sains kontekstual berbasis lingkungan diharapkan dapat dilaksanakan secara lebih optimal, tidak hanya meningkatkan pemahaman konsep IPA, tetapi juga menumbuhkan karakter peduli lingkungan, keterampilan abad 21, dan kesiapan siswa menghadapi tantangan masa </w:t>
      </w:r>
      <w:proofErr w:type="gramStart"/>
      <w:r w:rsidRPr="00E8519B">
        <w:rPr>
          <w:bCs/>
          <w:sz w:val="20"/>
        </w:rPr>
        <w:t>depan.</w:t>
      </w:r>
      <w:r w:rsidR="00983AEC" w:rsidRPr="00983AEC">
        <w:rPr>
          <w:bCs/>
          <w:sz w:val="20"/>
        </w:rPr>
        <w:t>.</w:t>
      </w:r>
      <w:proofErr w:type="gramEnd"/>
    </w:p>
    <w:p w14:paraId="4DD08029" w14:textId="77777777" w:rsidR="00FA0982" w:rsidRPr="001F6F9D" w:rsidRDefault="00FA0982" w:rsidP="00363D53">
      <w:pPr>
        <w:spacing w:before="0" w:line="240" w:lineRule="auto"/>
        <w:ind w:firstLine="709"/>
        <w:rPr>
          <w:bCs/>
          <w:sz w:val="20"/>
          <w:lang w:val="fi-FI"/>
        </w:rPr>
      </w:pPr>
    </w:p>
    <w:p w14:paraId="5AB68FEE" w14:textId="5C5BFC13" w:rsidR="00281B59" w:rsidRPr="001F6F9D" w:rsidRDefault="007823C2" w:rsidP="00B977EB">
      <w:pPr>
        <w:pStyle w:val="Heading1"/>
        <w:numPr>
          <w:ilvl w:val="0"/>
          <w:numId w:val="35"/>
        </w:numPr>
        <w:spacing w:before="120" w:after="120" w:line="240" w:lineRule="auto"/>
        <w:ind w:left="360"/>
        <w:jc w:val="left"/>
      </w:pPr>
      <w:r>
        <w:t>DAFTAR PUSTAKA</w:t>
      </w:r>
    </w:p>
    <w:p w14:paraId="0EFA225E" w14:textId="293F7912" w:rsidR="00E8519B" w:rsidRPr="00336FD9" w:rsidRDefault="00E8519B" w:rsidP="00E8519B">
      <w:pPr>
        <w:ind w:left="851" w:hanging="491"/>
      </w:pPr>
      <w:r w:rsidRPr="00336FD9">
        <w:t xml:space="preserve">Arifin, M., &amp; Setiawan, D. (2022). Challenges in implementing contextual science learning in elementary schools. </w:t>
      </w:r>
      <w:r w:rsidRPr="00E8519B">
        <w:rPr>
          <w:i/>
          <w:iCs/>
        </w:rPr>
        <w:t>Jurnal Pendidikan Dasar Nusantara, 7</w:t>
      </w:r>
      <w:r w:rsidRPr="00336FD9">
        <w:t xml:space="preserve">(2), 145–156. </w:t>
      </w:r>
      <w:hyperlink r:id="rId13" w:history="1">
        <w:r w:rsidRPr="007C73F6">
          <w:rPr>
            <w:rStyle w:val="Hyperlink"/>
          </w:rPr>
          <w:t>https://doi.org/10.24036/jpdn.v7i2.4567</w:t>
        </w:r>
      </w:hyperlink>
      <w:r>
        <w:t xml:space="preserve"> </w:t>
      </w:r>
    </w:p>
    <w:p w14:paraId="2D052AF8" w14:textId="43844CCD" w:rsidR="00E8519B" w:rsidRPr="00336FD9" w:rsidRDefault="00E8519B" w:rsidP="00E8519B">
      <w:pPr>
        <w:ind w:left="851" w:hanging="491"/>
      </w:pPr>
      <w:r w:rsidRPr="00336FD9">
        <w:lastRenderedPageBreak/>
        <w:t xml:space="preserve">Dewi, R., &amp; Yuliani, N. (2022). Constructivist-based science learning to improve conceptual understanding of elementary students. </w:t>
      </w:r>
      <w:r w:rsidRPr="00E8519B">
        <w:rPr>
          <w:i/>
          <w:iCs/>
        </w:rPr>
        <w:t>Jurnal Pendidikan IPA Indonesia, 11</w:t>
      </w:r>
      <w:r w:rsidRPr="00336FD9">
        <w:t xml:space="preserve">(4), 523–534. </w:t>
      </w:r>
      <w:hyperlink r:id="rId14" w:history="1">
        <w:r w:rsidRPr="007C73F6">
          <w:rPr>
            <w:rStyle w:val="Hyperlink"/>
          </w:rPr>
          <w:t>https://doi.org/10.15294/jpii.v11i4.36522</w:t>
        </w:r>
      </w:hyperlink>
      <w:r>
        <w:t xml:space="preserve"> </w:t>
      </w:r>
    </w:p>
    <w:p w14:paraId="3A4E3620" w14:textId="415C0C35" w:rsidR="00E8519B" w:rsidRPr="00336FD9" w:rsidRDefault="00E8519B" w:rsidP="00E8519B">
      <w:pPr>
        <w:ind w:left="851" w:hanging="491"/>
      </w:pPr>
      <w:r w:rsidRPr="00336FD9">
        <w:t xml:space="preserve">Fitriani, A., Lestari, P., &amp; Gunawan, H. (2023). Environmental-based contextual learning model to improve science process skills. </w:t>
      </w:r>
      <w:r w:rsidRPr="00E8519B">
        <w:rPr>
          <w:i/>
          <w:iCs/>
        </w:rPr>
        <w:t>Jurnal Ilmiah Sekolah Dasar, 7</w:t>
      </w:r>
      <w:r w:rsidRPr="00336FD9">
        <w:t xml:space="preserve">(1), 35–47. </w:t>
      </w:r>
      <w:hyperlink r:id="rId15" w:history="1">
        <w:r w:rsidRPr="007C73F6">
          <w:rPr>
            <w:rStyle w:val="Hyperlink"/>
          </w:rPr>
          <w:t>https://doi.org/10.23887/jisd.v7i1.57992</w:t>
        </w:r>
      </w:hyperlink>
      <w:r>
        <w:t xml:space="preserve"> </w:t>
      </w:r>
    </w:p>
    <w:p w14:paraId="657F2EC8" w14:textId="7FD6142D" w:rsidR="00E8519B" w:rsidRPr="00336FD9" w:rsidRDefault="00E8519B" w:rsidP="00E8519B">
      <w:pPr>
        <w:ind w:left="851" w:hanging="491"/>
      </w:pPr>
      <w:r w:rsidRPr="00336FD9">
        <w:t xml:space="preserve">Hidayat, A., &amp; Zulfa, R. (2022). Student participation in contextual science learning. </w:t>
      </w:r>
      <w:r w:rsidRPr="00E8519B">
        <w:rPr>
          <w:i/>
          <w:iCs/>
        </w:rPr>
        <w:t>Jurnal Pendidikan dan Pembelajaran Dasar, 9</w:t>
      </w:r>
      <w:r w:rsidRPr="00336FD9">
        <w:t xml:space="preserve">(2), 112–124. </w:t>
      </w:r>
      <w:hyperlink r:id="rId16" w:history="1">
        <w:r w:rsidRPr="007C73F6">
          <w:rPr>
            <w:rStyle w:val="Hyperlink"/>
          </w:rPr>
          <w:t>https://doi.org/10.32528/jppd.v9i2.5120</w:t>
        </w:r>
      </w:hyperlink>
      <w:r>
        <w:t xml:space="preserve"> </w:t>
      </w:r>
    </w:p>
    <w:p w14:paraId="5B32A198" w14:textId="77777777" w:rsidR="00E8519B" w:rsidRPr="00336FD9" w:rsidRDefault="00E8519B" w:rsidP="00E8519B">
      <w:pPr>
        <w:ind w:left="851" w:hanging="491"/>
      </w:pPr>
      <w:r w:rsidRPr="00336FD9">
        <w:t xml:space="preserve">Johnson, E. B. (2014). </w:t>
      </w:r>
      <w:r w:rsidRPr="00E8519B">
        <w:rPr>
          <w:i/>
          <w:iCs/>
        </w:rPr>
        <w:t>Contextual teaching and learning: What it is and why it’s here to stay</w:t>
      </w:r>
      <w:r w:rsidRPr="00336FD9">
        <w:t xml:space="preserve"> (2nd ed.). Corwin Press.</w:t>
      </w:r>
    </w:p>
    <w:p w14:paraId="406E367C" w14:textId="5F9D816E" w:rsidR="00E8519B" w:rsidRPr="00336FD9" w:rsidRDefault="00E8519B" w:rsidP="00E8519B">
      <w:pPr>
        <w:ind w:left="851" w:hanging="491"/>
      </w:pPr>
      <w:r w:rsidRPr="00336FD9">
        <w:t xml:space="preserve">Kemendikbudristek. (2022). </w:t>
      </w:r>
      <w:r w:rsidRPr="00E8519B">
        <w:rPr>
          <w:i/>
          <w:iCs/>
        </w:rPr>
        <w:t>Panduan implementasi Kurikulum Merdeka pada jenjang sekolah dasar</w:t>
      </w:r>
      <w:r w:rsidRPr="00336FD9">
        <w:t xml:space="preserve">. Kementerian Pendidikan, Kebudayaan, Riset, dan Teknologi. </w:t>
      </w:r>
      <w:hyperlink r:id="rId17" w:history="1">
        <w:r w:rsidRPr="007C73F6">
          <w:rPr>
            <w:rStyle w:val="Hyperlink"/>
          </w:rPr>
          <w:t>https://kurikulum.kemdikbud.go.id</w:t>
        </w:r>
      </w:hyperlink>
      <w:r>
        <w:t xml:space="preserve"> </w:t>
      </w:r>
    </w:p>
    <w:p w14:paraId="5F2D0CF6" w14:textId="3616166C" w:rsidR="00E8519B" w:rsidRPr="00336FD9" w:rsidRDefault="00E8519B" w:rsidP="00E8519B">
      <w:pPr>
        <w:ind w:left="851" w:hanging="491"/>
      </w:pPr>
      <w:r w:rsidRPr="00336FD9">
        <w:t xml:space="preserve">Kusuma, D., Raharjo, S., &amp; Wahyuni, T. (2023). Teacher readiness in implementing contextual science learning. </w:t>
      </w:r>
      <w:r w:rsidRPr="00E8519B">
        <w:rPr>
          <w:i/>
          <w:iCs/>
        </w:rPr>
        <w:t>Jurnal Pendidikan Dasar Indonesia, 8</w:t>
      </w:r>
      <w:r w:rsidRPr="00336FD9">
        <w:t xml:space="preserve">(3), 215–229. </w:t>
      </w:r>
      <w:hyperlink r:id="rId18" w:history="1">
        <w:r w:rsidRPr="007C73F6">
          <w:rPr>
            <w:rStyle w:val="Hyperlink"/>
          </w:rPr>
          <w:t>https://doi.org/10.24832/jpdi.v8i3.7712</w:t>
        </w:r>
      </w:hyperlink>
      <w:r>
        <w:t xml:space="preserve"> </w:t>
      </w:r>
    </w:p>
    <w:p w14:paraId="5E571201" w14:textId="19D5340B" w:rsidR="00E8519B" w:rsidRPr="00336FD9" w:rsidRDefault="00E8519B" w:rsidP="00E8519B">
      <w:pPr>
        <w:ind w:left="851" w:hanging="491"/>
      </w:pPr>
      <w:r w:rsidRPr="00336FD9">
        <w:t xml:space="preserve">Marlina, S., Putra, F., &amp; Prasetyo, R. (2023). Improving elementary students’ conceptual understanding using contextual learning. </w:t>
      </w:r>
      <w:r w:rsidRPr="00E8519B">
        <w:rPr>
          <w:i/>
          <w:iCs/>
        </w:rPr>
        <w:t>Journal of Science Education Research, 14</w:t>
      </w:r>
      <w:r w:rsidRPr="00336FD9">
        <w:t xml:space="preserve">(2), 99–112. </w:t>
      </w:r>
      <w:hyperlink r:id="rId19" w:history="1">
        <w:r w:rsidRPr="007C73F6">
          <w:rPr>
            <w:rStyle w:val="Hyperlink"/>
          </w:rPr>
          <w:t>https://doi.org/10.17509/jser.v14i2.59128</w:t>
        </w:r>
      </w:hyperlink>
      <w:r>
        <w:t xml:space="preserve"> </w:t>
      </w:r>
    </w:p>
    <w:p w14:paraId="4D5AABFF" w14:textId="3EF6C9F0" w:rsidR="00E8519B" w:rsidRPr="00336FD9" w:rsidRDefault="00E8519B" w:rsidP="00E8519B">
      <w:pPr>
        <w:ind w:left="851" w:hanging="491"/>
      </w:pPr>
      <w:r w:rsidRPr="00336FD9">
        <w:t xml:space="preserve">Ningsih, S., Kurniawati, D., &amp; Ananda, R. (2024). Utilizing local environmental potential in science learning to improve critical thinking skills. </w:t>
      </w:r>
      <w:r w:rsidRPr="00E8519B">
        <w:rPr>
          <w:i/>
          <w:iCs/>
        </w:rPr>
        <w:t>Jurnal Pendidikan Sains Indonesia, 12</w:t>
      </w:r>
      <w:r w:rsidRPr="00336FD9">
        <w:t xml:space="preserve">(1), 45–58. </w:t>
      </w:r>
      <w:hyperlink r:id="rId20" w:history="1">
        <w:r w:rsidRPr="007C73F6">
          <w:rPr>
            <w:rStyle w:val="Hyperlink"/>
          </w:rPr>
          <w:t>https://doi.org/10.15294/jpsi.v12i1.67241</w:t>
        </w:r>
      </w:hyperlink>
      <w:r>
        <w:t xml:space="preserve"> </w:t>
      </w:r>
    </w:p>
    <w:p w14:paraId="2A85243D" w14:textId="6C891FA9" w:rsidR="00E8519B" w:rsidRPr="00336FD9" w:rsidRDefault="00E8519B" w:rsidP="00E8519B">
      <w:pPr>
        <w:ind w:left="851" w:hanging="491"/>
      </w:pPr>
      <w:r w:rsidRPr="00336FD9">
        <w:t xml:space="preserve">OECD. (2019). </w:t>
      </w:r>
      <w:r w:rsidRPr="00E8519B">
        <w:rPr>
          <w:i/>
          <w:iCs/>
        </w:rPr>
        <w:t>PISA 2018 results (Volume I): What students know and can do</w:t>
      </w:r>
      <w:r w:rsidRPr="00336FD9">
        <w:t xml:space="preserve">. OECD Publishing. </w:t>
      </w:r>
      <w:hyperlink r:id="rId21" w:history="1">
        <w:r w:rsidRPr="007C73F6">
          <w:rPr>
            <w:rStyle w:val="Hyperlink"/>
          </w:rPr>
          <w:t>https://doi.org/10.1787/5f07c754-en</w:t>
        </w:r>
      </w:hyperlink>
      <w:r>
        <w:t xml:space="preserve"> </w:t>
      </w:r>
    </w:p>
    <w:p w14:paraId="50CC0064" w14:textId="7B93198C" w:rsidR="00E8519B" w:rsidRPr="00336FD9" w:rsidRDefault="00E8519B" w:rsidP="00E8519B">
      <w:pPr>
        <w:ind w:left="851" w:hanging="491"/>
      </w:pPr>
      <w:r w:rsidRPr="00336FD9">
        <w:t xml:space="preserve">OECD. (2023). </w:t>
      </w:r>
      <w:r w:rsidRPr="00E8519B">
        <w:rPr>
          <w:i/>
          <w:iCs/>
        </w:rPr>
        <w:t>PISA 2022 results (Volume I): The state of learning outcomes</w:t>
      </w:r>
      <w:r w:rsidRPr="00336FD9">
        <w:t xml:space="preserve">. OECD Publishing. </w:t>
      </w:r>
      <w:hyperlink r:id="rId22" w:history="1">
        <w:r w:rsidRPr="007C73F6">
          <w:rPr>
            <w:rStyle w:val="Hyperlink"/>
          </w:rPr>
          <w:t>https://doi.org/10.1787/7f9c4d5a-en</w:t>
        </w:r>
      </w:hyperlink>
      <w:r>
        <w:t xml:space="preserve"> </w:t>
      </w:r>
    </w:p>
    <w:p w14:paraId="3D37DA10" w14:textId="6A90271E" w:rsidR="00E8519B" w:rsidRPr="00336FD9" w:rsidRDefault="00E8519B" w:rsidP="00E8519B">
      <w:pPr>
        <w:ind w:left="851" w:hanging="491"/>
      </w:pPr>
      <w:r w:rsidRPr="00336FD9">
        <w:t xml:space="preserve">Pranata, R., Widodo, A., &amp; Lestari, D. (2021). Contextual learning to increase student activity and motivation in science. </w:t>
      </w:r>
      <w:r w:rsidRPr="00E8519B">
        <w:rPr>
          <w:i/>
          <w:iCs/>
        </w:rPr>
        <w:t>Jurnal Ilmiah Pendidikan Dasar, 8</w:t>
      </w:r>
      <w:r w:rsidRPr="00336FD9">
        <w:t xml:space="preserve">(2), 130–142. </w:t>
      </w:r>
      <w:hyperlink r:id="rId23" w:history="1">
        <w:r w:rsidRPr="007C73F6">
          <w:rPr>
            <w:rStyle w:val="Hyperlink"/>
          </w:rPr>
          <w:t>https://doi.org/10.23887/jipd.v8i2.40112</w:t>
        </w:r>
      </w:hyperlink>
      <w:r>
        <w:t xml:space="preserve"> </w:t>
      </w:r>
    </w:p>
    <w:p w14:paraId="22B57A92" w14:textId="168ABD22" w:rsidR="00E8519B" w:rsidRPr="00336FD9" w:rsidRDefault="00E8519B" w:rsidP="00E8519B">
      <w:pPr>
        <w:ind w:left="851" w:hanging="491"/>
      </w:pPr>
      <w:r w:rsidRPr="00336FD9">
        <w:t xml:space="preserve">Prasetyo, H., Sari, N., &amp; Widiyanto, A. (2024). Improving science literacy through contextual science learning. </w:t>
      </w:r>
      <w:r w:rsidRPr="00E8519B">
        <w:rPr>
          <w:i/>
          <w:iCs/>
        </w:rPr>
        <w:t>Jurnal Pendidikan Sains Indonesia, 12</w:t>
      </w:r>
      <w:r w:rsidRPr="00336FD9">
        <w:t xml:space="preserve">(2), 150–163. </w:t>
      </w:r>
      <w:hyperlink r:id="rId24" w:history="1">
        <w:r w:rsidRPr="007C73F6">
          <w:rPr>
            <w:rStyle w:val="Hyperlink"/>
          </w:rPr>
          <w:t>https://doi.org/10.15294/jpsi.v12i2.69254</w:t>
        </w:r>
      </w:hyperlink>
      <w:r>
        <w:t xml:space="preserve"> </w:t>
      </w:r>
    </w:p>
    <w:p w14:paraId="272BF5F4" w14:textId="095D05BE" w:rsidR="00E8519B" w:rsidRPr="00336FD9" w:rsidRDefault="00E8519B" w:rsidP="00E8519B">
      <w:pPr>
        <w:ind w:left="851" w:hanging="491"/>
      </w:pPr>
      <w:r w:rsidRPr="00336FD9">
        <w:t xml:space="preserve">Puspitasari, E., Hidayat, R., &amp; Arif, L. (2023). Barriers in implementing contextual teaching in science learning. </w:t>
      </w:r>
      <w:r w:rsidRPr="00E8519B">
        <w:rPr>
          <w:i/>
          <w:iCs/>
        </w:rPr>
        <w:t>Jurnal Pendidikan Dasar Indonesia, 8</w:t>
      </w:r>
      <w:r w:rsidRPr="00336FD9">
        <w:t xml:space="preserve">(1), 77–88. </w:t>
      </w:r>
      <w:hyperlink r:id="rId25" w:history="1">
        <w:r w:rsidRPr="007C73F6">
          <w:rPr>
            <w:rStyle w:val="Hyperlink"/>
          </w:rPr>
          <w:t>https://doi.org/10.24832/jpdi.v8i1.75291</w:t>
        </w:r>
      </w:hyperlink>
      <w:r>
        <w:t xml:space="preserve"> </w:t>
      </w:r>
    </w:p>
    <w:p w14:paraId="5C874CFB" w14:textId="2096CBB1" w:rsidR="00E8519B" w:rsidRPr="00336FD9" w:rsidRDefault="00E8519B" w:rsidP="00E8519B">
      <w:pPr>
        <w:ind w:left="851" w:hanging="491"/>
      </w:pPr>
      <w:r w:rsidRPr="00336FD9">
        <w:t xml:space="preserve">Putri, L., Hasanah, F., &amp; Wulandari, P. (2022). Contextual learning model to improve natural resources concept understanding. </w:t>
      </w:r>
      <w:r w:rsidRPr="00E8519B">
        <w:rPr>
          <w:i/>
          <w:iCs/>
        </w:rPr>
        <w:t>Jurnal Pendidikan IPA Indonesia, 11</w:t>
      </w:r>
      <w:r w:rsidRPr="00336FD9">
        <w:t xml:space="preserve">(2), 219–230. </w:t>
      </w:r>
      <w:hyperlink r:id="rId26" w:history="1">
        <w:r w:rsidRPr="007C73F6">
          <w:rPr>
            <w:rStyle w:val="Hyperlink"/>
          </w:rPr>
          <w:t>https://doi.org/10.15294/jpii.v11i2.35432</w:t>
        </w:r>
      </w:hyperlink>
      <w:r>
        <w:t xml:space="preserve"> </w:t>
      </w:r>
    </w:p>
    <w:p w14:paraId="4DA133FE" w14:textId="5A2B0455" w:rsidR="00E8519B" w:rsidRPr="00336FD9" w:rsidRDefault="00E8519B" w:rsidP="00E8519B">
      <w:pPr>
        <w:ind w:left="851" w:hanging="491"/>
      </w:pPr>
      <w:r w:rsidRPr="00336FD9">
        <w:t xml:space="preserve">Rahayu, S., &amp; Santosa, H. (2022). The impact of contextual science learning on students’ critical thinking skills. </w:t>
      </w:r>
      <w:r w:rsidRPr="00E8519B">
        <w:rPr>
          <w:i/>
          <w:iCs/>
        </w:rPr>
        <w:t>Jurnal Pendidikan Sains, 10</w:t>
      </w:r>
      <w:r w:rsidRPr="00336FD9">
        <w:t xml:space="preserve">(3), 244–256. </w:t>
      </w:r>
      <w:hyperlink r:id="rId27" w:history="1">
        <w:r w:rsidRPr="007C73F6">
          <w:rPr>
            <w:rStyle w:val="Hyperlink"/>
          </w:rPr>
          <w:t>https://doi.org/10.15294/jps.v10i3.36011</w:t>
        </w:r>
      </w:hyperlink>
      <w:r>
        <w:t xml:space="preserve"> </w:t>
      </w:r>
    </w:p>
    <w:p w14:paraId="3C5465F3" w14:textId="7023B437" w:rsidR="00E8519B" w:rsidRPr="00336FD9" w:rsidRDefault="00E8519B" w:rsidP="00E8519B">
      <w:pPr>
        <w:ind w:left="851" w:hanging="491"/>
      </w:pPr>
      <w:r w:rsidRPr="00336FD9">
        <w:lastRenderedPageBreak/>
        <w:t xml:space="preserve">Rahmawati, N., Yulianti, E., &amp; Ramadhani, P. (2021). Teacher-centered learning and students’ science literacy. </w:t>
      </w:r>
      <w:r w:rsidRPr="00E8519B">
        <w:rPr>
          <w:i/>
          <w:iCs/>
        </w:rPr>
        <w:t>Jurnal Pendidikan IPA Indonesia, 10</w:t>
      </w:r>
      <w:r w:rsidRPr="00336FD9">
        <w:t xml:space="preserve">(4), 612–625. </w:t>
      </w:r>
      <w:hyperlink r:id="rId28" w:history="1">
        <w:r w:rsidRPr="007C73F6">
          <w:rPr>
            <w:rStyle w:val="Hyperlink"/>
          </w:rPr>
          <w:t>https://doi.org/10.15294/jpii.v10i4.33722</w:t>
        </w:r>
      </w:hyperlink>
      <w:r>
        <w:t xml:space="preserve"> </w:t>
      </w:r>
    </w:p>
    <w:p w14:paraId="0CD7EA7B" w14:textId="2FCE9CA8" w:rsidR="00E8519B" w:rsidRPr="00336FD9" w:rsidRDefault="00E8519B" w:rsidP="00E8519B">
      <w:pPr>
        <w:ind w:left="851" w:hanging="491"/>
      </w:pPr>
      <w:r w:rsidRPr="00336FD9">
        <w:t xml:space="preserve">Setiawan, F., Wardani, I., &amp; Mahardika, A. (2023). Contextual-based IPA learning for improving students’ process skills. </w:t>
      </w:r>
      <w:r w:rsidRPr="00E8519B">
        <w:rPr>
          <w:i/>
          <w:iCs/>
        </w:rPr>
        <w:t>Jurnal Ilmiah Sekolah Dasar, 7</w:t>
      </w:r>
      <w:r w:rsidRPr="00336FD9">
        <w:t xml:space="preserve">(2), 91–104. </w:t>
      </w:r>
      <w:hyperlink r:id="rId29" w:history="1">
        <w:r w:rsidRPr="007C73F6">
          <w:rPr>
            <w:rStyle w:val="Hyperlink"/>
          </w:rPr>
          <w:t>https://doi.org/10.23887/jisd.v7i2.59283</w:t>
        </w:r>
      </w:hyperlink>
      <w:r>
        <w:t xml:space="preserve"> </w:t>
      </w:r>
    </w:p>
    <w:p w14:paraId="524B23EF" w14:textId="68629C08" w:rsidR="00E8519B" w:rsidRPr="00336FD9" w:rsidRDefault="00E8519B" w:rsidP="00E8519B">
      <w:pPr>
        <w:ind w:left="851" w:hanging="491"/>
      </w:pPr>
      <w:r w:rsidRPr="00336FD9">
        <w:t xml:space="preserve">Suryanti, S., &amp; Budiarti, Y. (2022). Science learning innovation in elementary schools: A contextual approach. </w:t>
      </w:r>
      <w:r w:rsidRPr="00E8519B">
        <w:rPr>
          <w:i/>
          <w:iCs/>
        </w:rPr>
        <w:t>Jurnal Pendidikan Dasar Indonesia, 7</w:t>
      </w:r>
      <w:r w:rsidRPr="00336FD9">
        <w:t xml:space="preserve">(1), 55–67. </w:t>
      </w:r>
      <w:hyperlink r:id="rId30" w:history="1">
        <w:r w:rsidRPr="007C73F6">
          <w:rPr>
            <w:rStyle w:val="Hyperlink"/>
          </w:rPr>
          <w:t>https://doi.org/10.24832/jpdi.v7i1.61213</w:t>
        </w:r>
      </w:hyperlink>
      <w:r>
        <w:t xml:space="preserve"> </w:t>
      </w:r>
    </w:p>
    <w:p w14:paraId="27AE6AF5" w14:textId="61417E8A" w:rsidR="00E8519B" w:rsidRPr="00336FD9" w:rsidRDefault="00E8519B" w:rsidP="00E8519B">
      <w:pPr>
        <w:ind w:left="851" w:hanging="491"/>
      </w:pPr>
      <w:r w:rsidRPr="00336FD9">
        <w:t xml:space="preserve">Sutrisno, E., Rahman, T., &amp; Putra, G. (2022). Teacher-centered instruction in science classes: Problems and solutions. </w:t>
      </w:r>
      <w:r w:rsidRPr="00E8519B">
        <w:rPr>
          <w:i/>
          <w:iCs/>
        </w:rPr>
        <w:t>Jurnal Pendidikan Dasar Nusantara, 7</w:t>
      </w:r>
      <w:r w:rsidRPr="00336FD9">
        <w:t xml:space="preserve">(3), 178–190. </w:t>
      </w:r>
      <w:hyperlink r:id="rId31" w:history="1">
        <w:r w:rsidRPr="007C73F6">
          <w:rPr>
            <w:rStyle w:val="Hyperlink"/>
          </w:rPr>
          <w:t>https://doi.org/10.24036/jpdn.v7i3.4783</w:t>
        </w:r>
      </w:hyperlink>
      <w:r>
        <w:t xml:space="preserve"> </w:t>
      </w:r>
    </w:p>
    <w:p w14:paraId="6949F864" w14:textId="2D93F999" w:rsidR="00E8519B" w:rsidRPr="00336FD9" w:rsidRDefault="00E8519B" w:rsidP="00E8519B">
      <w:pPr>
        <w:ind w:left="851" w:hanging="491"/>
      </w:pPr>
      <w:r w:rsidRPr="00336FD9">
        <w:t xml:space="preserve">Suwarto, S., Nugraha, B., &amp; Permatasari, M. (2022). Implementing Merdeka Curriculum in elementary science education. </w:t>
      </w:r>
      <w:r w:rsidRPr="00E8519B">
        <w:rPr>
          <w:i/>
          <w:iCs/>
        </w:rPr>
        <w:t>Jurnal Pendidikan Dasar Indonesia, 7</w:t>
      </w:r>
      <w:r w:rsidRPr="00336FD9">
        <w:t xml:space="preserve">(2), 132–144. </w:t>
      </w:r>
      <w:hyperlink r:id="rId32" w:history="1">
        <w:r w:rsidRPr="007C73F6">
          <w:rPr>
            <w:rStyle w:val="Hyperlink"/>
          </w:rPr>
          <w:t>https://doi.org/10.24832/jpdi.v7i2.62312</w:t>
        </w:r>
      </w:hyperlink>
      <w:r>
        <w:t xml:space="preserve"> </w:t>
      </w:r>
    </w:p>
    <w:p w14:paraId="55CB07CB" w14:textId="14663949" w:rsidR="00E8519B" w:rsidRPr="00336FD9" w:rsidRDefault="00E8519B" w:rsidP="00E8519B">
      <w:pPr>
        <w:ind w:left="851" w:hanging="491"/>
      </w:pPr>
      <w:r w:rsidRPr="00336FD9">
        <w:t xml:space="preserve">Widiyastuti, E., Hartono, A., &amp; Rahayu, D. (2023). Contextual teaching and learning to strengthen science literacy in elementary schools. </w:t>
      </w:r>
      <w:r w:rsidRPr="00E8519B">
        <w:rPr>
          <w:i/>
          <w:iCs/>
        </w:rPr>
        <w:t>Jurnal Ilmiah Sekolah Dasar, 7</w:t>
      </w:r>
      <w:r w:rsidRPr="00336FD9">
        <w:t xml:space="preserve">(3), 201–214. </w:t>
      </w:r>
      <w:hyperlink r:id="rId33" w:history="1">
        <w:r w:rsidRPr="007C73F6">
          <w:rPr>
            <w:rStyle w:val="Hyperlink"/>
          </w:rPr>
          <w:t>https://doi.org/10.23887/jisd.v7i3.59871</w:t>
        </w:r>
      </w:hyperlink>
      <w:r>
        <w:t xml:space="preserve"> </w:t>
      </w:r>
    </w:p>
    <w:p w14:paraId="68F6CD10" w14:textId="439241B9" w:rsidR="00E8519B" w:rsidRPr="00336FD9" w:rsidRDefault="00E8519B" w:rsidP="00E8519B">
      <w:pPr>
        <w:ind w:left="851" w:hanging="491"/>
      </w:pPr>
      <w:r w:rsidRPr="00336FD9">
        <w:t xml:space="preserve">Widodo, T., &amp; Sari, M. (2023). Improving conceptual understanding through contextual learning. </w:t>
      </w:r>
      <w:r w:rsidRPr="00E8519B">
        <w:rPr>
          <w:i/>
          <w:iCs/>
        </w:rPr>
        <w:t>Jurnal Pendidikan IPA Indonesia, 12</w:t>
      </w:r>
      <w:r w:rsidRPr="00336FD9">
        <w:t xml:space="preserve">(1), 35–48. </w:t>
      </w:r>
      <w:hyperlink r:id="rId34" w:history="1">
        <w:r w:rsidRPr="007C73F6">
          <w:rPr>
            <w:rStyle w:val="Hyperlink"/>
          </w:rPr>
          <w:t>https://doi.org/10.15294/jpii.v12i1.67413</w:t>
        </w:r>
      </w:hyperlink>
      <w:r>
        <w:t xml:space="preserve"> </w:t>
      </w:r>
    </w:p>
    <w:p w14:paraId="5F25C23E" w14:textId="1F5AC172" w:rsidR="00E8519B" w:rsidRPr="00336FD9" w:rsidRDefault="00E8519B" w:rsidP="00E8519B">
      <w:pPr>
        <w:ind w:left="851" w:hanging="491"/>
      </w:pPr>
      <w:r w:rsidRPr="00336FD9">
        <w:t xml:space="preserve">Wibowo, A., Prasetya, A., &amp; Sulastri, D. (2023). Merdeka curriculum and contextual learning integration in science education. </w:t>
      </w:r>
      <w:r w:rsidRPr="00E8519B">
        <w:rPr>
          <w:i/>
          <w:iCs/>
        </w:rPr>
        <w:t>Jurnal Pendidikan Dasar Nusantara, 8</w:t>
      </w:r>
      <w:r w:rsidRPr="00336FD9">
        <w:t xml:space="preserve">(1), 56–69. </w:t>
      </w:r>
      <w:hyperlink r:id="rId35" w:history="1">
        <w:r w:rsidRPr="007C73F6">
          <w:rPr>
            <w:rStyle w:val="Hyperlink"/>
          </w:rPr>
          <w:t>https://doi.org/10.24036/jpdn.v8i1.70322</w:t>
        </w:r>
      </w:hyperlink>
      <w:r>
        <w:t xml:space="preserve"> </w:t>
      </w:r>
    </w:p>
    <w:p w14:paraId="46999FC9" w14:textId="5A808B6F" w:rsidR="00E8519B" w:rsidRPr="00336FD9" w:rsidRDefault="00E8519B" w:rsidP="00E8519B">
      <w:pPr>
        <w:ind w:left="851" w:hanging="491"/>
      </w:pPr>
      <w:r w:rsidRPr="00336FD9">
        <w:t xml:space="preserve">Wulandari, D., Santoso, E., &amp; Fitria, R. (2023). Teacher training needs in contextual science learning. </w:t>
      </w:r>
      <w:r w:rsidRPr="00E8519B">
        <w:rPr>
          <w:i/>
          <w:iCs/>
        </w:rPr>
        <w:t>Jurnal Pendidikan Dasar Indonesia, 8</w:t>
      </w:r>
      <w:r w:rsidRPr="00336FD9">
        <w:t xml:space="preserve">(2), 188–200. </w:t>
      </w:r>
      <w:hyperlink r:id="rId36" w:history="1">
        <w:r w:rsidRPr="007C73F6">
          <w:rPr>
            <w:rStyle w:val="Hyperlink"/>
          </w:rPr>
          <w:t>https://doi.org/10.24832/jpdi.v8i2.78214</w:t>
        </w:r>
      </w:hyperlink>
      <w:r>
        <w:t xml:space="preserve"> </w:t>
      </w:r>
    </w:p>
    <w:p w14:paraId="0E93C501" w14:textId="744708F8" w:rsidR="00E8519B" w:rsidRPr="00336FD9" w:rsidRDefault="00E8519B" w:rsidP="00E8519B">
      <w:pPr>
        <w:ind w:left="851" w:hanging="491"/>
      </w:pPr>
      <w:r w:rsidRPr="00336FD9">
        <w:t xml:space="preserve">Yuliani, E., &amp; Wahyuni, T. (2021). Science literacy in elementary students: Challenges and opportunities. </w:t>
      </w:r>
      <w:r w:rsidRPr="00E8519B">
        <w:rPr>
          <w:i/>
          <w:iCs/>
        </w:rPr>
        <w:t>Jurnal Pendidikan IPA Indonesia, 10</w:t>
      </w:r>
      <w:r w:rsidRPr="00336FD9">
        <w:t xml:space="preserve">(3), 421–434. </w:t>
      </w:r>
      <w:hyperlink r:id="rId37" w:history="1">
        <w:r w:rsidRPr="007C73F6">
          <w:rPr>
            <w:rStyle w:val="Hyperlink"/>
          </w:rPr>
          <w:t>https://doi.org/10.15294/jpii.v10i3.33124</w:t>
        </w:r>
      </w:hyperlink>
      <w:r>
        <w:t xml:space="preserve"> </w:t>
      </w:r>
    </w:p>
    <w:p w14:paraId="55F968D1" w14:textId="77777777" w:rsidR="00E8519B" w:rsidRDefault="00E8519B" w:rsidP="00E8519B">
      <w:pPr>
        <w:pStyle w:val="ListParagraph"/>
      </w:pPr>
    </w:p>
    <w:p w14:paraId="14D08D45" w14:textId="77777777" w:rsidR="00EC0580" w:rsidRDefault="00EC0580" w:rsidP="00EC0580">
      <w:pPr>
        <w:spacing w:after="240"/>
        <w:ind w:firstLine="709"/>
        <w:rPr>
          <w:sz w:val="20"/>
        </w:rPr>
      </w:pPr>
    </w:p>
    <w:p w14:paraId="2FF52915" w14:textId="1589D94F" w:rsidR="00DC6C40" w:rsidRPr="001F6F9D" w:rsidRDefault="00DC6C40" w:rsidP="006D3290">
      <w:pPr>
        <w:widowControl w:val="0"/>
        <w:autoSpaceDE w:val="0"/>
        <w:autoSpaceDN w:val="0"/>
        <w:adjustRightInd w:val="0"/>
        <w:spacing w:before="0" w:line="240" w:lineRule="auto"/>
        <w:ind w:left="709" w:hanging="709"/>
        <w:rPr>
          <w:color w:val="000000"/>
          <w:sz w:val="20"/>
          <w:lang w:val="sv-SE"/>
        </w:rPr>
      </w:pPr>
    </w:p>
    <w:sectPr w:rsidR="00DC6C40" w:rsidRPr="001F6F9D" w:rsidSect="005373E7">
      <w:headerReference w:type="even" r:id="rId38"/>
      <w:headerReference w:type="default" r:id="rId39"/>
      <w:footerReference w:type="even" r:id="rId40"/>
      <w:footerReference w:type="default" r:id="rId41"/>
      <w:headerReference w:type="first" r:id="rId42"/>
      <w:footerReference w:type="first" r:id="rId43"/>
      <w:type w:val="continuous"/>
      <w:pgSz w:w="11906" w:h="16838"/>
      <w:pgMar w:top="1560" w:right="1418" w:bottom="1418" w:left="1418" w:header="709" w:footer="709" w:gutter="0"/>
      <w:pgNumType w:start="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4273D" w14:textId="77777777" w:rsidR="00BA4787" w:rsidRDefault="00BA4787">
      <w:r>
        <w:separator/>
      </w:r>
    </w:p>
  </w:endnote>
  <w:endnote w:type="continuationSeparator" w:id="0">
    <w:p w14:paraId="54E8B798" w14:textId="77777777" w:rsidR="00BA4787" w:rsidRDefault="00BA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C8DE" w14:textId="77777777" w:rsidR="00F97D29" w:rsidRPr="00413162" w:rsidRDefault="00F97D29" w:rsidP="00E2648F">
    <w:pPr>
      <w:spacing w:before="0" w:line="240" w:lineRule="auto"/>
      <w:jc w:val="left"/>
      <w:rPr>
        <w:rStyle w:val="Strong"/>
        <w:b w:val="0"/>
        <w:i/>
        <w:color w:val="000000"/>
        <w:sz w:val="16"/>
      </w:rPr>
    </w:pPr>
  </w:p>
  <w:p w14:paraId="6854E462" w14:textId="0E11738C" w:rsidR="00F13CCF" w:rsidRPr="004663E8" w:rsidRDefault="00F97D29" w:rsidP="004663E8">
    <w:pPr>
      <w:spacing w:before="0" w:line="240" w:lineRule="auto"/>
      <w:rPr>
        <w:noProof/>
        <w:sz w:val="16"/>
        <w:szCs w:val="16"/>
      </w:rPr>
    </w:pPr>
    <w:r w:rsidRPr="00413162">
      <w:rPr>
        <w:rStyle w:val="Strong"/>
        <w:b w:val="0"/>
        <w:i/>
        <w:color w:val="000000"/>
        <w:sz w:val="16"/>
      </w:rPr>
      <w:t>p-ISSN :</w:t>
    </w:r>
    <w:hyperlink r:id="rId1" w:tgtFrame="_blank" w:history="1">
      <w:r w:rsidRPr="00413162">
        <w:rPr>
          <w:rStyle w:val="Hyperlink"/>
          <w:bCs/>
          <w:i/>
          <w:color w:val="000000"/>
          <w:sz w:val="16"/>
          <w:u w:val="none"/>
        </w:rPr>
        <w:t xml:space="preserve"> 2549-</w:t>
      </w:r>
      <w:r w:rsidR="001F6F9D">
        <w:rPr>
          <w:rStyle w:val="Hyperlink"/>
          <w:bCs/>
          <w:i/>
          <w:color w:val="000000"/>
          <w:sz w:val="16"/>
          <w:u w:val="none"/>
        </w:rPr>
        <w:t>xxx</w:t>
      </w:r>
      <w:r w:rsidRPr="00413162">
        <w:rPr>
          <w:rStyle w:val="Hyperlink"/>
          <w:bCs/>
          <w:i/>
          <w:color w:val="000000"/>
          <w:sz w:val="16"/>
          <w:u w:val="none"/>
        </w:rPr>
        <w:t>6</w:t>
      </w:r>
    </w:hyperlink>
    <w:r w:rsidRPr="00413162">
      <w:rPr>
        <w:rStyle w:val="Strong"/>
        <w:i/>
        <w:color w:val="000000"/>
        <w:sz w:val="16"/>
      </w:rPr>
      <w:t>,</w:t>
    </w:r>
    <w:r w:rsidRPr="00413162">
      <w:rPr>
        <w:rStyle w:val="Strong"/>
        <w:b w:val="0"/>
        <w:i/>
        <w:color w:val="000000"/>
        <w:sz w:val="16"/>
      </w:rPr>
      <w:t xml:space="preserve"> e-ISSN : </w:t>
    </w:r>
    <w:hyperlink r:id="rId2" w:tgtFrame="_blank" w:history="1">
      <w:r w:rsidRPr="00413162">
        <w:rPr>
          <w:rStyle w:val="Hyperlink"/>
          <w:bCs/>
          <w:i/>
          <w:color w:val="000000"/>
          <w:sz w:val="16"/>
          <w:u w:val="none"/>
        </w:rPr>
        <w:t>2549-</w:t>
      </w:r>
      <w:r w:rsidR="001F6F9D">
        <w:rPr>
          <w:rStyle w:val="Hyperlink"/>
          <w:bCs/>
          <w:i/>
          <w:color w:val="000000"/>
          <w:sz w:val="16"/>
          <w:u w:val="none"/>
        </w:rPr>
        <w:t>xxxx</w:t>
      </w:r>
      <w:r w:rsidRPr="00413162">
        <w:rPr>
          <w:rStyle w:val="Hyperlink"/>
          <w:bCs/>
          <w:i/>
          <w:color w:val="000000"/>
          <w:sz w:val="16"/>
          <w:u w:val="none"/>
        </w:rPr>
        <w:t>0</w:t>
      </w:r>
    </w:hyperlink>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Pr="00413162">
      <w:rPr>
        <w:rStyle w:val="Hyperlink"/>
        <w:bCs/>
        <w:i/>
        <w:color w:val="000000"/>
        <w:sz w:val="16"/>
        <w:u w:val="none"/>
      </w:rPr>
      <w:tab/>
    </w:r>
    <w:r w:rsidR="00C6488F" w:rsidRPr="00413162">
      <w:rPr>
        <w:rStyle w:val="Hyperlink"/>
        <w:bCs/>
        <w:i/>
        <w:color w:val="000000"/>
        <w:sz w:val="16"/>
        <w:u w:val="none"/>
        <w:lang w:val="id-ID"/>
      </w:rPr>
      <w:t xml:space="preserve">  </w:t>
    </w:r>
    <w:r w:rsidRPr="00413162">
      <w:rPr>
        <w:rStyle w:val="Hyperlink"/>
        <w:bCs/>
        <w:i/>
        <w:color w:val="000000"/>
        <w:sz w:val="16"/>
        <w:u w:val="none"/>
      </w:rPr>
      <w:tab/>
    </w:r>
    <w:r w:rsidR="00C6488F" w:rsidRPr="00413162">
      <w:rPr>
        <w:rStyle w:val="Hyperlink"/>
        <w:bCs/>
        <w:i/>
        <w:color w:val="000000"/>
        <w:sz w:val="16"/>
        <w:u w:val="none"/>
        <w:lang w:val="id-ID"/>
      </w:rPr>
      <w:t xml:space="preserve">   </w:t>
    </w:r>
    <w:r w:rsidRPr="00413162">
      <w:rPr>
        <w:rStyle w:val="Hyperlink"/>
        <w:bCs/>
        <w:i/>
        <w:color w:val="000000"/>
        <w:sz w:val="16"/>
        <w:u w:val="none"/>
        <w:lang w:val="id-ID"/>
      </w:rPr>
      <w:t xml:space="preserve"> </w:t>
    </w:r>
    <w:r w:rsidRPr="009E41C9">
      <w:rPr>
        <w:sz w:val="16"/>
        <w:szCs w:val="16"/>
      </w:rPr>
      <w:fldChar w:fldCharType="begin"/>
    </w:r>
    <w:r w:rsidRPr="009E41C9">
      <w:rPr>
        <w:sz w:val="16"/>
        <w:szCs w:val="16"/>
      </w:rPr>
      <w:instrText xml:space="preserve"> PAGE   \* MERGEFORMAT </w:instrText>
    </w:r>
    <w:r w:rsidRPr="009E41C9">
      <w:rPr>
        <w:sz w:val="16"/>
        <w:szCs w:val="16"/>
      </w:rPr>
      <w:fldChar w:fldCharType="separate"/>
    </w:r>
    <w:r w:rsidR="00413162">
      <w:rPr>
        <w:noProof/>
        <w:sz w:val="16"/>
        <w:szCs w:val="16"/>
      </w:rPr>
      <w:t>2</w:t>
    </w:r>
    <w:r w:rsidRPr="009E41C9">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B865" w14:textId="77777777" w:rsidR="00F97D29" w:rsidRDefault="00F97D29" w:rsidP="002A283A">
    <w:pPr>
      <w:tabs>
        <w:tab w:val="left" w:pos="5878"/>
      </w:tabs>
      <w:spacing w:before="0" w:line="240" w:lineRule="auto"/>
      <w:jc w:val="left"/>
      <w:rPr>
        <w:rFonts w:ascii="Calibri" w:eastAsia="Calibri" w:hAnsi="Calibri"/>
        <w:sz w:val="16"/>
        <w:szCs w:val="16"/>
      </w:rPr>
    </w:pPr>
    <w:r>
      <w:rPr>
        <w:rFonts w:ascii="Calibri" w:eastAsia="Calibri" w:hAnsi="Calibri"/>
        <w:sz w:val="16"/>
        <w:szCs w:val="16"/>
      </w:rPr>
      <w:tab/>
    </w:r>
  </w:p>
  <w:p w14:paraId="33DEC4F2" w14:textId="77777777" w:rsidR="00F97D29" w:rsidRDefault="00F97D29" w:rsidP="00C551FD">
    <w:pPr>
      <w:spacing w:before="0" w:line="240" w:lineRule="auto"/>
      <w:jc w:val="left"/>
      <w:rPr>
        <w:rFonts w:ascii="Calibri" w:eastAsia="Calibri" w:hAnsi="Calibri"/>
        <w:sz w:val="16"/>
        <w:szCs w:val="16"/>
      </w:rPr>
    </w:pPr>
  </w:p>
  <w:p w14:paraId="043651FB" w14:textId="77777777" w:rsidR="00F97D29" w:rsidRPr="00EE76C2" w:rsidRDefault="00F97D29" w:rsidP="00EE76C2">
    <w:pPr>
      <w:tabs>
        <w:tab w:val="left" w:pos="1752"/>
      </w:tabs>
      <w:spacing w:before="0" w:line="240" w:lineRule="auto"/>
      <w:jc w:val="left"/>
      <w:rPr>
        <w:sz w:val="16"/>
        <w:szCs w:val="16"/>
        <w:lang w:val="id-ID"/>
      </w:rPr>
    </w:pPr>
  </w:p>
  <w:p w14:paraId="32F3CA66" w14:textId="161F25CA" w:rsidR="00F13CCF" w:rsidRPr="004663E8" w:rsidRDefault="006D3290" w:rsidP="004663E8">
    <w:pPr>
      <w:tabs>
        <w:tab w:val="left" w:pos="8364"/>
      </w:tabs>
      <w:spacing w:before="0" w:line="240" w:lineRule="auto"/>
      <w:rPr>
        <w:noProof/>
        <w:sz w:val="16"/>
        <w:szCs w:val="16"/>
      </w:rPr>
    </w:pPr>
    <w:r>
      <w:rPr>
        <w:bCs/>
        <w:i/>
        <w:sz w:val="16"/>
        <w:szCs w:val="16"/>
        <w:lang w:val="en-US"/>
      </w:rPr>
      <w:t>Judul Artikel</w:t>
    </w:r>
    <w:r w:rsidR="00363E31">
      <w:rPr>
        <w:bCs/>
        <w:i/>
        <w:sz w:val="16"/>
        <w:szCs w:val="16"/>
        <w:lang w:val="en-US"/>
      </w:rPr>
      <w:t xml:space="preserve"> </w:t>
    </w:r>
    <w:r w:rsidR="00F97D29">
      <w:rPr>
        <w:i/>
        <w:sz w:val="16"/>
        <w:szCs w:val="16"/>
        <w:lang w:val="en-US"/>
      </w:rPr>
      <w:tab/>
    </w:r>
    <w:r w:rsidR="00F97D29">
      <w:rPr>
        <w:i/>
        <w:sz w:val="16"/>
        <w:szCs w:val="16"/>
        <w:lang w:val="en-US"/>
      </w:rPr>
      <w:tab/>
    </w:r>
    <w:r w:rsidR="00C6488F">
      <w:rPr>
        <w:i/>
        <w:sz w:val="16"/>
        <w:szCs w:val="16"/>
        <w:lang w:val="id-ID"/>
      </w:rPr>
      <w:t xml:space="preserve">   </w:t>
    </w:r>
    <w:r w:rsidR="00F97D29">
      <w:rPr>
        <w:i/>
        <w:sz w:val="16"/>
        <w:szCs w:val="16"/>
        <w:lang w:val="en-US"/>
      </w:rPr>
      <w:t xml:space="preserve"> </w:t>
    </w:r>
    <w:r w:rsidR="00F97D29" w:rsidRPr="009E41C9">
      <w:rPr>
        <w:sz w:val="16"/>
        <w:szCs w:val="16"/>
      </w:rPr>
      <w:fldChar w:fldCharType="begin"/>
    </w:r>
    <w:r w:rsidR="00F97D29" w:rsidRPr="009E41C9">
      <w:rPr>
        <w:sz w:val="16"/>
        <w:szCs w:val="16"/>
      </w:rPr>
      <w:instrText xml:space="preserve"> PAGE   \* MERGEFORMAT </w:instrText>
    </w:r>
    <w:r w:rsidR="00F97D29" w:rsidRPr="009E41C9">
      <w:rPr>
        <w:sz w:val="16"/>
        <w:szCs w:val="16"/>
      </w:rPr>
      <w:fldChar w:fldCharType="separate"/>
    </w:r>
    <w:r w:rsidR="00413162">
      <w:rPr>
        <w:noProof/>
        <w:sz w:val="16"/>
        <w:szCs w:val="16"/>
      </w:rPr>
      <w:t>3</w:t>
    </w:r>
    <w:r w:rsidR="00F97D29" w:rsidRPr="009E41C9">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AB25" w14:textId="0EA00524" w:rsidR="00F97D29" w:rsidRPr="001F6F9D" w:rsidRDefault="00F97D29" w:rsidP="001F6F9D">
    <w:pPr>
      <w:tabs>
        <w:tab w:val="left" w:pos="8647"/>
      </w:tabs>
      <w:spacing w:before="0"/>
      <w:rPr>
        <w:rFonts w:ascii="Cambria" w:hAnsi="Cambria"/>
        <w:color w:val="000000"/>
        <w:sz w:val="16"/>
        <w:szCs w:val="16"/>
      </w:rPr>
    </w:pPr>
    <w:r>
      <w:rPr>
        <w:rFonts w:ascii="Cambria" w:hAnsi="Cambria"/>
        <w:i/>
        <w:sz w:val="16"/>
      </w:rPr>
      <w:t xml:space="preserve">* </w:t>
    </w:r>
    <w:bookmarkStart w:id="9" w:name="_Hlk201130961"/>
    <w:r w:rsidRPr="00E40F89">
      <w:rPr>
        <w:rFonts w:ascii="Cambria" w:hAnsi="Cambria"/>
        <w:i/>
        <w:sz w:val="16"/>
      </w:rPr>
      <w:t>Corresponding Author:</w:t>
    </w:r>
    <w:r>
      <w:rPr>
        <w:rFonts w:ascii="Cambria" w:hAnsi="Cambria"/>
        <w:i/>
        <w:sz w:val="16"/>
      </w:rPr>
      <w:t xml:space="preserve"> </w:t>
    </w:r>
    <w:bookmarkEnd w:id="9"/>
    <w:r w:rsidR="00BE151D">
      <w:rPr>
        <w:rFonts w:ascii="Cambria" w:hAnsi="Cambria"/>
        <w:iCs/>
        <w:sz w:val="16"/>
      </w:rPr>
      <w:t xml:space="preserve">marheni rayung </w:t>
    </w:r>
    <w:proofErr w:type="gramStart"/>
    <w:r w:rsidR="00BE151D">
      <w:rPr>
        <w:rFonts w:ascii="Cambria" w:hAnsi="Cambria"/>
        <w:iCs/>
        <w:sz w:val="16"/>
      </w:rPr>
      <w:t>puspaningru,</w:t>
    </w:r>
    <w:r w:rsidR="001F6F9D" w:rsidRPr="001F6F9D">
      <w:rPr>
        <w:rFonts w:ascii="Cambria" w:hAnsi="Cambria"/>
        <w:iCs/>
        <w:sz w:val="16"/>
      </w:rPr>
      <w:t>,</w:t>
    </w:r>
    <w:proofErr w:type="gramEnd"/>
    <w:r w:rsidR="001F6F9D" w:rsidRPr="001F6F9D">
      <w:rPr>
        <w:rFonts w:ascii="Cambria" w:hAnsi="Cambria"/>
        <w:iCs/>
        <w:sz w:val="16"/>
      </w:rPr>
      <w:t xml:space="preserve"> Universitas Doktor Nugroho,</w:t>
    </w:r>
    <w:r w:rsidR="001F6F9D">
      <w:rPr>
        <w:rFonts w:ascii="Cambria" w:hAnsi="Cambria"/>
        <w:i/>
        <w:sz w:val="16"/>
      </w:rPr>
      <w:t xml:space="preserve"> </w:t>
    </w:r>
    <w:hyperlink r:id="rId1" w:history="1">
      <w:r w:rsidR="00BE151D" w:rsidRPr="006E4E62">
        <w:rPr>
          <w:rStyle w:val="Hyperlink"/>
          <w:rFonts w:ascii="Cambria" w:hAnsi="Cambria"/>
          <w:sz w:val="16"/>
          <w:szCs w:val="16"/>
        </w:rPr>
        <w:t>bulana280@gmail.com</w:t>
      </w:r>
    </w:hyperlink>
    <w:r w:rsidR="006D3290">
      <w:rPr>
        <w:rFonts w:ascii="Cambria" w:hAnsi="Cambria"/>
        <w:color w:val="000000"/>
        <w:sz w:val="16"/>
        <w:szCs w:val="16"/>
      </w:rPr>
      <w:t xml:space="preserve"> </w:t>
    </w:r>
    <w:r w:rsidR="00C6488F">
      <w:rPr>
        <w:i/>
        <w:sz w:val="16"/>
        <w:szCs w:val="16"/>
        <w:lang w:val="sv-SE"/>
      </w:rPr>
      <w:t xml:space="preserve">  </w:t>
    </w:r>
    <w:r w:rsidRPr="009E41C9">
      <w:rPr>
        <w:sz w:val="16"/>
        <w:szCs w:val="16"/>
      </w:rPr>
      <w:fldChar w:fldCharType="begin"/>
    </w:r>
    <w:r w:rsidRPr="009E41C9">
      <w:rPr>
        <w:sz w:val="16"/>
        <w:szCs w:val="16"/>
      </w:rPr>
      <w:instrText xml:space="preserve"> PAGE   \* MERGEFORMAT </w:instrText>
    </w:r>
    <w:r w:rsidRPr="009E41C9">
      <w:rPr>
        <w:sz w:val="16"/>
        <w:szCs w:val="16"/>
      </w:rPr>
      <w:fldChar w:fldCharType="separate"/>
    </w:r>
    <w:r w:rsidR="00413162">
      <w:rPr>
        <w:noProof/>
        <w:sz w:val="16"/>
        <w:szCs w:val="16"/>
      </w:rPr>
      <w:t>1</w:t>
    </w:r>
    <w:r w:rsidRPr="009E41C9">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012F" w14:textId="77777777" w:rsidR="00BA4787" w:rsidRDefault="00BA4787">
      <w:r>
        <w:separator/>
      </w:r>
    </w:p>
  </w:footnote>
  <w:footnote w:type="continuationSeparator" w:id="0">
    <w:p w14:paraId="680EF2B0" w14:textId="77777777" w:rsidR="00BA4787" w:rsidRDefault="00BA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27BA" w14:textId="1F56D007" w:rsidR="00F97D29" w:rsidRPr="002A283A" w:rsidRDefault="00FA0982" w:rsidP="00324873">
    <w:pPr>
      <w:pBdr>
        <w:bottom w:val="single" w:sz="4" w:space="0" w:color="auto"/>
      </w:pBdr>
      <w:spacing w:before="0" w:line="240" w:lineRule="auto"/>
      <w:ind w:right="-2"/>
      <w:jc w:val="center"/>
      <w:rPr>
        <w:i/>
        <w:sz w:val="14"/>
        <w:szCs w:val="16"/>
        <w:lang w:val="en-US"/>
      </w:rPr>
    </w:pPr>
    <w:bookmarkStart w:id="0" w:name="_Hlk81463703"/>
    <w:r>
      <w:rPr>
        <w:bCs/>
        <w:sz w:val="16"/>
        <w:szCs w:val="16"/>
      </w:rPr>
      <w:t>Butter</w:t>
    </w:r>
    <w:r w:rsidR="00E4345E">
      <w:rPr>
        <w:bCs/>
        <w:sz w:val="16"/>
        <w:szCs w:val="16"/>
      </w:rPr>
      <w:t>fly</w:t>
    </w:r>
    <w:r w:rsidR="002B0E53" w:rsidRPr="002B0E53">
      <w:rPr>
        <w:bCs/>
        <w:sz w:val="16"/>
        <w:szCs w:val="16"/>
        <w:vertAlign w:val="superscript"/>
      </w:rPr>
      <w:t>1</w:t>
    </w:r>
    <w:r w:rsidR="002B0E53" w:rsidRPr="002B0E53">
      <w:rPr>
        <w:bCs/>
        <w:sz w:val="16"/>
        <w:szCs w:val="16"/>
      </w:rPr>
      <w:t xml:space="preserve">, </w:t>
    </w:r>
    <w:bookmarkStart w:id="1" w:name="_Hlk201130592"/>
    <w:r w:rsidR="00E4345E">
      <w:rPr>
        <w:bCs/>
        <w:sz w:val="16"/>
        <w:szCs w:val="16"/>
      </w:rPr>
      <w:t>Odette</w:t>
    </w:r>
    <w:proofErr w:type="gramStart"/>
    <w:r w:rsidR="002B0E53" w:rsidRPr="002B0E53">
      <w:rPr>
        <w:bCs/>
        <w:sz w:val="16"/>
        <w:szCs w:val="16"/>
        <w:vertAlign w:val="superscript"/>
      </w:rPr>
      <w:t>2</w:t>
    </w:r>
    <w:r>
      <w:rPr>
        <w:bCs/>
        <w:sz w:val="16"/>
        <w:szCs w:val="16"/>
      </w:rPr>
      <w:t xml:space="preserve"> </w:t>
    </w:r>
    <w:bookmarkEnd w:id="1"/>
    <w:r w:rsidR="00E4345E">
      <w:rPr>
        <w:bCs/>
        <w:sz w:val="16"/>
        <w:szCs w:val="16"/>
      </w:rPr>
      <w:t>,</w:t>
    </w:r>
    <w:proofErr w:type="gramEnd"/>
    <w:r w:rsidR="00E4345E">
      <w:rPr>
        <w:bCs/>
        <w:sz w:val="16"/>
        <w:szCs w:val="16"/>
      </w:rPr>
      <w:t xml:space="preserve"> dan Miya</w:t>
    </w:r>
    <w:r w:rsidR="00E4345E">
      <w:rPr>
        <w:bCs/>
        <w:sz w:val="16"/>
        <w:szCs w:val="16"/>
        <w:vertAlign w:val="superscript"/>
      </w:rPr>
      <w:t>3</w:t>
    </w:r>
    <w:r w:rsidR="00E4345E">
      <w:rPr>
        <w:bCs/>
        <w:sz w:val="16"/>
        <w:szCs w:val="16"/>
      </w:rPr>
      <w:t xml:space="preserve"> </w:t>
    </w:r>
    <w:r w:rsidR="004276B8" w:rsidRPr="00A75B4F">
      <w:rPr>
        <w:sz w:val="16"/>
        <w:szCs w:val="16"/>
      </w:rPr>
      <w:t>(</w:t>
    </w:r>
    <w:r w:rsidR="004276B8" w:rsidRPr="00936D0A">
      <w:rPr>
        <w:sz w:val="16"/>
        <w:szCs w:val="16"/>
      </w:rPr>
      <w:t>202</w:t>
    </w:r>
    <w:r>
      <w:rPr>
        <w:sz w:val="16"/>
        <w:szCs w:val="16"/>
      </w:rPr>
      <w:t>5</w:t>
    </w:r>
    <w:r w:rsidR="004276B8" w:rsidRPr="00936D0A">
      <w:rPr>
        <w:sz w:val="16"/>
        <w:szCs w:val="16"/>
      </w:rPr>
      <w:t>).</w:t>
    </w:r>
    <w:r w:rsidR="00C6488F">
      <w:rPr>
        <w:sz w:val="16"/>
        <w:szCs w:val="16"/>
      </w:rPr>
      <w:t xml:space="preserve"> </w:t>
    </w:r>
    <w:bookmarkEnd w:id="0"/>
    <w:r w:rsidRPr="00E4345E">
      <w:rPr>
        <w:i/>
        <w:iCs/>
        <w:sz w:val="16"/>
        <w:szCs w:val="16"/>
      </w:rPr>
      <w:t>International Journal of Educational Policy and Innovation</w:t>
    </w:r>
    <w:r w:rsidRPr="00FA0982">
      <w:rPr>
        <w:sz w:val="16"/>
        <w:szCs w:val="16"/>
      </w:rPr>
      <w:t xml:space="preserve"> (IJEPI), Vol. 1(1), pp. </w:t>
    </w:r>
    <w:r w:rsidR="005373E7">
      <w:rPr>
        <w:sz w:val="16"/>
        <w:szCs w:val="16"/>
      </w:rPr>
      <w:t>43</w:t>
    </w:r>
    <w:r w:rsidRPr="00FA0982">
      <w:rPr>
        <w:sz w:val="16"/>
        <w:szCs w:val="16"/>
      </w:rPr>
      <w:t>–</w:t>
    </w:r>
    <w:r w:rsidR="005373E7">
      <w:rPr>
        <w:sz w:val="16"/>
        <w:szCs w:val="16"/>
      </w:rPr>
      <w:t>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9695" w14:textId="112EA7CB" w:rsidR="00F97D29" w:rsidRPr="00FA0982" w:rsidRDefault="00FA0982" w:rsidP="00FA0982">
    <w:pPr>
      <w:pStyle w:val="Header"/>
      <w:jc w:val="center"/>
    </w:pPr>
    <w:r w:rsidRPr="00FA0982">
      <w:rPr>
        <w:bCs/>
        <w:i w:val="0"/>
        <w:sz w:val="16"/>
        <w:szCs w:val="16"/>
        <w:lang w:val="en-US"/>
      </w:rPr>
      <w:t>Penulis1, Penulis2</w:t>
    </w:r>
    <w:r w:rsidR="00E4345E">
      <w:rPr>
        <w:bCs/>
        <w:i w:val="0"/>
        <w:sz w:val="16"/>
        <w:szCs w:val="16"/>
        <w:lang w:val="en-US"/>
      </w:rPr>
      <w:t>, dan Penulis3</w:t>
    </w:r>
    <w:r w:rsidRPr="00FA0982">
      <w:rPr>
        <w:bCs/>
        <w:i w:val="0"/>
        <w:sz w:val="16"/>
        <w:szCs w:val="16"/>
        <w:lang w:val="en-US"/>
      </w:rPr>
      <w:t xml:space="preserve"> (2025). </w:t>
    </w:r>
    <w:bookmarkStart w:id="2" w:name="_Hlk201130483"/>
    <w:r w:rsidRPr="00FA0982">
      <w:rPr>
        <w:bCs/>
        <w:i w:val="0"/>
        <w:sz w:val="16"/>
        <w:szCs w:val="16"/>
        <w:lang w:val="en-US"/>
      </w:rPr>
      <w:t>International Journal of Educational Policy and Innovation</w:t>
    </w:r>
    <w:r>
      <w:rPr>
        <w:bCs/>
        <w:i w:val="0"/>
        <w:sz w:val="16"/>
        <w:szCs w:val="16"/>
        <w:lang w:val="en-US"/>
      </w:rPr>
      <w:t xml:space="preserve"> (IJEPI)</w:t>
    </w:r>
    <w:r w:rsidRPr="00FA0982">
      <w:rPr>
        <w:bCs/>
        <w:i w:val="0"/>
        <w:sz w:val="16"/>
        <w:szCs w:val="16"/>
        <w:lang w:val="en-US"/>
      </w:rPr>
      <w:t xml:space="preserve">, Vol. 1(1), pp. </w:t>
    </w:r>
    <w:r w:rsidR="005373E7">
      <w:rPr>
        <w:bCs/>
        <w:i w:val="0"/>
        <w:sz w:val="16"/>
        <w:szCs w:val="16"/>
        <w:lang w:val="en-US"/>
      </w:rPr>
      <w:t>43</w:t>
    </w:r>
    <w:r w:rsidRPr="00FA0982">
      <w:rPr>
        <w:bCs/>
        <w:i w:val="0"/>
        <w:sz w:val="16"/>
        <w:szCs w:val="16"/>
        <w:lang w:val="en-US"/>
      </w:rPr>
      <w:t>–</w:t>
    </w:r>
    <w:r w:rsidR="005373E7">
      <w:rPr>
        <w:bCs/>
        <w:i w:val="0"/>
        <w:sz w:val="16"/>
        <w:szCs w:val="16"/>
        <w:lang w:val="en-US"/>
      </w:rPr>
      <w:t>53</w:t>
    </w:r>
    <w:r w:rsidRPr="00FA0982">
      <w:rPr>
        <w:bCs/>
        <w:i w:val="0"/>
        <w:sz w:val="16"/>
        <w:szCs w:val="16"/>
        <w:lang w:val="en-US"/>
      </w:rPr>
      <w:t>.</w:t>
    </w:r>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8CFA" w14:textId="35318E25" w:rsidR="00F97D29" w:rsidRPr="00E83FA5" w:rsidRDefault="003E11B2" w:rsidP="00E83FA5">
    <w:pPr>
      <w:pBdr>
        <w:top w:val="single" w:sz="4" w:space="1" w:color="auto"/>
      </w:pBdr>
      <w:spacing w:before="0" w:line="240" w:lineRule="auto"/>
      <w:jc w:val="left"/>
      <w:rPr>
        <w:rFonts w:ascii="Cambria" w:eastAsia="MS Mincho" w:hAnsi="Cambria"/>
        <w:sz w:val="14"/>
        <w:szCs w:val="14"/>
        <w:lang w:val="en-US" w:eastAsia="en-US"/>
      </w:rPr>
    </w:pPr>
    <w:r>
      <w:rPr>
        <w:noProof/>
      </w:rPr>
      <w:drawing>
        <wp:anchor distT="0" distB="0" distL="114300" distR="114300" simplePos="0" relativeHeight="251656192" behindDoc="0" locked="0" layoutInCell="1" allowOverlap="1" wp14:anchorId="029F4F25" wp14:editId="0B430410">
          <wp:simplePos x="0" y="0"/>
          <wp:positionH relativeFrom="margin">
            <wp:align>right</wp:align>
          </wp:positionH>
          <wp:positionV relativeFrom="paragraph">
            <wp:posOffset>26366</wp:posOffset>
          </wp:positionV>
          <wp:extent cx="645325" cy="91249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325" cy="912495"/>
                  </a:xfrm>
                  <a:prstGeom prst="rect">
                    <a:avLst/>
                  </a:prstGeom>
                  <a:noFill/>
                  <a:ln>
                    <a:noFill/>
                  </a:ln>
                </pic:spPr>
              </pic:pic>
            </a:graphicData>
          </a:graphic>
          <wp14:sizeRelH relativeFrom="page">
            <wp14:pctWidth>0</wp14:pctWidth>
          </wp14:sizeRelH>
          <wp14:sizeRelV relativeFrom="page">
            <wp14:pctHeight>0</wp14:pctHeight>
          </wp14:sizeRelV>
        </wp:anchor>
      </w:drawing>
    </w:r>
    <w:r w:rsidR="00E4345E">
      <w:rPr>
        <w:rFonts w:ascii="Cambria" w:eastAsia="MS Mincho" w:hAnsi="Cambria"/>
        <w:noProof/>
        <w:sz w:val="14"/>
        <w:szCs w:val="14"/>
        <w:lang w:val="en-US" w:eastAsia="en-US"/>
      </w:rPr>
      <w:drawing>
        <wp:inline distT="0" distB="0" distL="0" distR="0" wp14:anchorId="352EB650" wp14:editId="1ADF2AAE">
          <wp:extent cx="1383665" cy="774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665" cy="774065"/>
                  </a:xfrm>
                  <a:prstGeom prst="rect">
                    <a:avLst/>
                  </a:prstGeom>
                  <a:noFill/>
                </pic:spPr>
              </pic:pic>
            </a:graphicData>
          </a:graphic>
        </wp:inline>
      </w:drawing>
    </w:r>
  </w:p>
  <w:p w14:paraId="30143A5F" w14:textId="5B75335F" w:rsidR="00F97D29" w:rsidRPr="003E418F" w:rsidRDefault="00ED1FA3" w:rsidP="00E83FA5">
    <w:pPr>
      <w:pBdr>
        <w:top w:val="single" w:sz="4" w:space="1" w:color="auto"/>
      </w:pBdr>
      <w:spacing w:before="0" w:line="240" w:lineRule="auto"/>
      <w:jc w:val="left"/>
      <w:rPr>
        <w:rFonts w:ascii="Cambria" w:eastAsia="MS Mincho" w:hAnsi="Cambria"/>
        <w:b/>
        <w:bCs/>
        <w:sz w:val="20"/>
        <w:lang w:val="en-US" w:eastAsia="en-US"/>
      </w:rPr>
    </w:pPr>
    <w:bookmarkStart w:id="3" w:name="_Hlk201128959"/>
    <w:r w:rsidRPr="00ED1FA3">
      <w:rPr>
        <w:rFonts w:ascii="Cambria" w:eastAsia="MS Mincho" w:hAnsi="Cambria"/>
        <w:b/>
        <w:bCs/>
        <w:sz w:val="20"/>
        <w:lang w:val="en-US" w:eastAsia="en-US"/>
      </w:rPr>
      <w:t>International Journal of Educational Policy and Innovation (IJEPI)</w:t>
    </w:r>
    <w:r w:rsidR="00F97D29" w:rsidRPr="003E418F">
      <w:rPr>
        <w:b/>
        <w:bCs/>
        <w:noProof/>
        <w:sz w:val="36"/>
        <w:szCs w:val="28"/>
      </w:rPr>
      <w:t xml:space="preserve"> </w:t>
    </w:r>
  </w:p>
  <w:bookmarkEnd w:id="3"/>
  <w:p w14:paraId="13102967" w14:textId="2E159FCB" w:rsidR="00F97D29" w:rsidRPr="00E83FA5" w:rsidRDefault="00F97D29" w:rsidP="00E83FA5">
    <w:pPr>
      <w:spacing w:before="0" w:line="240" w:lineRule="auto"/>
      <w:jc w:val="left"/>
      <w:rPr>
        <w:rFonts w:ascii="Cambria" w:eastAsia="MS Mincho" w:hAnsi="Cambria"/>
        <w:sz w:val="14"/>
        <w:szCs w:val="14"/>
        <w:lang w:val="en-US" w:eastAsia="en-US"/>
      </w:rPr>
    </w:pPr>
    <w:r w:rsidRPr="00E83FA5">
      <w:rPr>
        <w:rFonts w:ascii="Cambria" w:eastAsia="MS Mincho" w:hAnsi="Cambria"/>
        <w:sz w:val="14"/>
        <w:szCs w:val="14"/>
        <w:lang w:val="en-US" w:eastAsia="en-US"/>
      </w:rPr>
      <w:t xml:space="preserve">Volume </w:t>
    </w:r>
    <w:r w:rsidR="00ED1FA3">
      <w:rPr>
        <w:rFonts w:ascii="Cambria" w:eastAsia="MS Mincho" w:hAnsi="Cambria"/>
        <w:sz w:val="14"/>
        <w:szCs w:val="14"/>
        <w:lang w:val="en-US" w:eastAsia="en-US"/>
      </w:rPr>
      <w:t>1</w:t>
    </w:r>
    <w:r w:rsidRPr="00E83FA5">
      <w:rPr>
        <w:rFonts w:ascii="Cambria" w:eastAsia="MS Mincho" w:hAnsi="Cambria"/>
        <w:sz w:val="14"/>
        <w:szCs w:val="14"/>
        <w:lang w:val="en-US" w:eastAsia="en-US"/>
      </w:rPr>
      <w:t xml:space="preserve">, Number </w:t>
    </w:r>
    <w:r w:rsidR="00ED1FA3">
      <w:rPr>
        <w:rFonts w:ascii="Cambria" w:eastAsia="MS Mincho" w:hAnsi="Cambria"/>
        <w:sz w:val="14"/>
        <w:szCs w:val="14"/>
        <w:lang w:val="en-US" w:eastAsia="en-US"/>
      </w:rPr>
      <w:t>1</w:t>
    </w:r>
    <w:r w:rsidRPr="00E83FA5">
      <w:rPr>
        <w:rFonts w:ascii="Cambria" w:eastAsia="MS Mincho" w:hAnsi="Cambria"/>
        <w:sz w:val="14"/>
        <w:szCs w:val="14"/>
        <w:lang w:val="en-US" w:eastAsia="en-US"/>
      </w:rPr>
      <w:t>, 202</w:t>
    </w:r>
    <w:r w:rsidR="00ED1FA3">
      <w:rPr>
        <w:rFonts w:ascii="Cambria" w:eastAsia="MS Mincho" w:hAnsi="Cambria"/>
        <w:sz w:val="14"/>
        <w:szCs w:val="14"/>
        <w:lang w:val="en-US" w:eastAsia="en-US"/>
      </w:rPr>
      <w:t>5</w:t>
    </w:r>
    <w:r w:rsidRPr="00E83FA5">
      <w:rPr>
        <w:rFonts w:ascii="Cambria" w:eastAsia="MS Mincho" w:hAnsi="Cambria"/>
        <w:sz w:val="14"/>
        <w:szCs w:val="14"/>
        <w:lang w:val="en-US" w:eastAsia="en-US"/>
      </w:rPr>
      <w:t xml:space="preserve"> pp. </w:t>
    </w:r>
    <w:bookmarkStart w:id="4" w:name="_Hlk72254191"/>
    <w:bookmarkStart w:id="5" w:name="_Hlk72339025"/>
    <w:bookmarkStart w:id="6" w:name="_Hlk78551991"/>
    <w:bookmarkStart w:id="7" w:name="_Hlk87944763"/>
    <w:bookmarkStart w:id="8" w:name="_Hlk88106663"/>
    <w:r w:rsidR="005373E7">
      <w:rPr>
        <w:rFonts w:ascii="Cambria" w:eastAsia="MS Mincho" w:hAnsi="Cambria"/>
        <w:sz w:val="14"/>
        <w:szCs w:val="14"/>
        <w:lang w:val="en-US" w:eastAsia="en-US"/>
      </w:rPr>
      <w:t>43</w:t>
    </w:r>
    <w:r w:rsidRPr="00E83FA5">
      <w:rPr>
        <w:rFonts w:ascii="Cambria" w:eastAsia="MS Mincho" w:hAnsi="Cambria"/>
        <w:sz w:val="14"/>
        <w:szCs w:val="14"/>
        <w:lang w:val="en-US" w:eastAsia="en-US"/>
      </w:rPr>
      <w:t>-</w:t>
    </w:r>
    <w:bookmarkEnd w:id="4"/>
    <w:bookmarkEnd w:id="5"/>
    <w:bookmarkEnd w:id="6"/>
    <w:bookmarkEnd w:id="7"/>
    <w:bookmarkEnd w:id="8"/>
    <w:r w:rsidR="005373E7">
      <w:rPr>
        <w:rFonts w:ascii="Cambria" w:eastAsia="MS Mincho" w:hAnsi="Cambria"/>
        <w:sz w:val="14"/>
        <w:szCs w:val="14"/>
        <w:lang w:val="en-US" w:eastAsia="en-US"/>
      </w:rPr>
      <w:t>53</w:t>
    </w:r>
  </w:p>
  <w:p w14:paraId="6E11148E" w14:textId="063A4D63" w:rsidR="00F97D29" w:rsidRPr="00E83FA5" w:rsidRDefault="00F97D29" w:rsidP="00E83FA5">
    <w:pPr>
      <w:spacing w:before="0" w:line="240" w:lineRule="auto"/>
      <w:jc w:val="left"/>
      <w:rPr>
        <w:rFonts w:ascii="Cambria" w:eastAsia="MS Mincho" w:hAnsi="Cambria"/>
        <w:sz w:val="14"/>
        <w:szCs w:val="14"/>
        <w:lang w:val="en-US" w:eastAsia="en-US"/>
      </w:rPr>
    </w:pPr>
    <w:r w:rsidRPr="00E83FA5">
      <w:rPr>
        <w:rFonts w:ascii="Cambria" w:eastAsia="MS Mincho" w:hAnsi="Cambria"/>
        <w:sz w:val="14"/>
        <w:szCs w:val="14"/>
        <w:lang w:val="en-US" w:eastAsia="en-US"/>
      </w:rPr>
      <w:t xml:space="preserve">P-ISSN: </w:t>
    </w:r>
    <w:r w:rsidRPr="007D66AA">
      <w:rPr>
        <w:rFonts w:ascii="Cambria" w:eastAsia="MS Mincho" w:hAnsi="Cambria"/>
        <w:sz w:val="14"/>
        <w:szCs w:val="14"/>
        <w:lang w:val="en-US" w:eastAsia="en-US"/>
      </w:rPr>
      <w:t>2549-</w:t>
    </w:r>
    <w:r w:rsidR="00ED1FA3">
      <w:rPr>
        <w:rFonts w:ascii="Cambria" w:eastAsia="MS Mincho" w:hAnsi="Cambria"/>
        <w:sz w:val="14"/>
        <w:szCs w:val="14"/>
        <w:lang w:val="en-US" w:eastAsia="en-US"/>
      </w:rPr>
      <w:t>XXXX</w:t>
    </w:r>
    <w:r>
      <w:rPr>
        <w:rFonts w:ascii="Cambria" w:eastAsia="MS Mincho" w:hAnsi="Cambria"/>
        <w:sz w:val="14"/>
        <w:szCs w:val="14"/>
        <w:lang w:val="en-US" w:eastAsia="en-US"/>
      </w:rPr>
      <w:t xml:space="preserve"> </w:t>
    </w:r>
    <w:r w:rsidRPr="00E83FA5">
      <w:rPr>
        <w:rFonts w:ascii="Cambria" w:eastAsia="MS Mincho" w:hAnsi="Cambria"/>
        <w:sz w:val="14"/>
        <w:szCs w:val="14"/>
        <w:lang w:val="en-US" w:eastAsia="en-US"/>
      </w:rPr>
      <w:t>E-</w:t>
    </w:r>
    <w:proofErr w:type="gramStart"/>
    <w:r w:rsidRPr="00E83FA5">
      <w:rPr>
        <w:rFonts w:ascii="Cambria" w:eastAsia="MS Mincho" w:hAnsi="Cambria"/>
        <w:sz w:val="14"/>
        <w:szCs w:val="14"/>
        <w:lang w:val="en-US" w:eastAsia="en-US"/>
      </w:rPr>
      <w:t>ISSN :</w:t>
    </w:r>
    <w:proofErr w:type="gramEnd"/>
    <w:r w:rsidRPr="00E83FA5">
      <w:rPr>
        <w:rFonts w:ascii="Cambria" w:eastAsia="MS Mincho" w:hAnsi="Cambria"/>
        <w:sz w:val="14"/>
        <w:szCs w:val="14"/>
        <w:lang w:val="en-US" w:eastAsia="en-US"/>
      </w:rPr>
      <w:t xml:space="preserve"> </w:t>
    </w:r>
    <w:r w:rsidRPr="007D66AA">
      <w:rPr>
        <w:rFonts w:ascii="Cambria" w:eastAsia="MS Mincho" w:hAnsi="Cambria"/>
        <w:sz w:val="14"/>
        <w:szCs w:val="14"/>
        <w:lang w:val="en-US" w:eastAsia="en-US"/>
      </w:rPr>
      <w:t>2549-</w:t>
    </w:r>
    <w:r w:rsidR="00ED1FA3">
      <w:rPr>
        <w:rFonts w:ascii="Cambria" w:eastAsia="MS Mincho" w:hAnsi="Cambria"/>
        <w:sz w:val="14"/>
        <w:szCs w:val="14"/>
        <w:lang w:val="en-US" w:eastAsia="en-US"/>
      </w:rPr>
      <w:t>XXXX</w:t>
    </w:r>
  </w:p>
  <w:p w14:paraId="204E7802" w14:textId="26D16C2D" w:rsidR="00F97D29" w:rsidRPr="00E83FA5" w:rsidRDefault="00F97D29" w:rsidP="00E83FA5">
    <w:pPr>
      <w:pBdr>
        <w:bottom w:val="single" w:sz="12" w:space="1" w:color="auto"/>
      </w:pBdr>
      <w:spacing w:before="0" w:line="240" w:lineRule="auto"/>
      <w:jc w:val="left"/>
      <w:rPr>
        <w:rFonts w:ascii="Cambria" w:eastAsia="MS Mincho" w:hAnsi="Cambria"/>
        <w:sz w:val="14"/>
        <w:szCs w:val="14"/>
        <w:lang w:val="en-US" w:eastAsia="en-US"/>
      </w:rPr>
    </w:pPr>
    <w:r w:rsidRPr="00E83FA5">
      <w:rPr>
        <w:rFonts w:ascii="Cambria" w:eastAsia="MS Mincho" w:hAnsi="Cambria"/>
        <w:sz w:val="14"/>
        <w:szCs w:val="14"/>
        <w:lang w:val="en-US" w:eastAsia="en-US"/>
      </w:rPr>
      <w:t xml:space="preserve">Open Access: </w:t>
    </w:r>
    <w:hyperlink r:id="rId3" w:history="1">
      <w:r w:rsidR="00ED1FA3" w:rsidRPr="001D2194">
        <w:rPr>
          <w:rStyle w:val="Hyperlink"/>
          <w:rFonts w:ascii="Cambria" w:eastAsia="MS Mincho" w:hAnsi="Cambria"/>
          <w:sz w:val="14"/>
          <w:szCs w:val="14"/>
          <w:lang w:val="en-US" w:eastAsia="en-US"/>
        </w:rPr>
        <w:t>https://ojs.ptliterana.id/index.php/ijepi/id</w:t>
      </w:r>
    </w:hyperlink>
  </w:p>
  <w:p w14:paraId="7D5EB845" w14:textId="77777777" w:rsidR="00F97D29" w:rsidRPr="003E418F" w:rsidRDefault="00F97D29" w:rsidP="00E83FA5">
    <w:pPr>
      <w:pBdr>
        <w:bottom w:val="single" w:sz="12" w:space="1" w:color="auto"/>
      </w:pBdr>
      <w:spacing w:before="0" w:line="240" w:lineRule="auto"/>
      <w:jc w:val="left"/>
      <w:rPr>
        <w:rFonts w:ascii="Cambria" w:eastAsia="MS Mincho" w:hAnsi="Cambria"/>
        <w:sz w:val="8"/>
        <w:szCs w:val="8"/>
        <w:lang w:val="en-US" w:eastAsia="en-US"/>
      </w:rPr>
    </w:pPr>
  </w:p>
  <w:p w14:paraId="35D01D36" w14:textId="41A5AC6F" w:rsidR="00F97D29" w:rsidRPr="00E83FA5" w:rsidRDefault="00F97D29" w:rsidP="00E83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766"/>
    <w:multiLevelType w:val="hybridMultilevel"/>
    <w:tmpl w:val="19CAAE9A"/>
    <w:lvl w:ilvl="0" w:tplc="C2E6893C">
      <w:start w:val="1"/>
      <w:numFmt w:val="lowerLetter"/>
      <w:lvlText w:val="%1."/>
      <w:lvlJc w:val="left"/>
      <w:pPr>
        <w:ind w:left="4042" w:hanging="269"/>
      </w:pPr>
      <w:rPr>
        <w:rFonts w:ascii="Georgia" w:eastAsia="Georgia" w:hAnsi="Georgia" w:cs="Georgia" w:hint="default"/>
        <w:w w:val="75"/>
        <w:sz w:val="20"/>
        <w:szCs w:val="20"/>
        <w:lang w:val="en-US" w:eastAsia="en-US" w:bidi="ar-SA"/>
      </w:rPr>
    </w:lvl>
    <w:lvl w:ilvl="1" w:tplc="4B6E26BE">
      <w:numFmt w:val="bullet"/>
      <w:lvlText w:val="•"/>
      <w:lvlJc w:val="left"/>
      <w:pPr>
        <w:ind w:left="4604" w:hanging="269"/>
      </w:pPr>
      <w:rPr>
        <w:rFonts w:hint="default"/>
        <w:lang w:val="en-US" w:eastAsia="en-US" w:bidi="ar-SA"/>
      </w:rPr>
    </w:lvl>
    <w:lvl w:ilvl="2" w:tplc="B5F2A616">
      <w:numFmt w:val="bullet"/>
      <w:lvlText w:val="•"/>
      <w:lvlJc w:val="left"/>
      <w:pPr>
        <w:ind w:left="5163" w:hanging="269"/>
      </w:pPr>
      <w:rPr>
        <w:rFonts w:hint="default"/>
        <w:lang w:val="en-US" w:eastAsia="en-US" w:bidi="ar-SA"/>
      </w:rPr>
    </w:lvl>
    <w:lvl w:ilvl="3" w:tplc="4642A028">
      <w:numFmt w:val="bullet"/>
      <w:lvlText w:val="•"/>
      <w:lvlJc w:val="left"/>
      <w:pPr>
        <w:ind w:left="5722" w:hanging="269"/>
      </w:pPr>
      <w:rPr>
        <w:rFonts w:hint="default"/>
        <w:lang w:val="en-US" w:eastAsia="en-US" w:bidi="ar-SA"/>
      </w:rPr>
    </w:lvl>
    <w:lvl w:ilvl="4" w:tplc="85E2A75A">
      <w:numFmt w:val="bullet"/>
      <w:lvlText w:val="•"/>
      <w:lvlJc w:val="left"/>
      <w:pPr>
        <w:ind w:left="6281" w:hanging="269"/>
      </w:pPr>
      <w:rPr>
        <w:rFonts w:hint="default"/>
        <w:lang w:val="en-US" w:eastAsia="en-US" w:bidi="ar-SA"/>
      </w:rPr>
    </w:lvl>
    <w:lvl w:ilvl="5" w:tplc="CD0C0066">
      <w:numFmt w:val="bullet"/>
      <w:lvlText w:val="•"/>
      <w:lvlJc w:val="left"/>
      <w:pPr>
        <w:ind w:left="6840" w:hanging="269"/>
      </w:pPr>
      <w:rPr>
        <w:rFonts w:hint="default"/>
        <w:lang w:val="en-US" w:eastAsia="en-US" w:bidi="ar-SA"/>
      </w:rPr>
    </w:lvl>
    <w:lvl w:ilvl="6" w:tplc="8E6C5058">
      <w:numFmt w:val="bullet"/>
      <w:lvlText w:val="•"/>
      <w:lvlJc w:val="left"/>
      <w:pPr>
        <w:ind w:left="7399" w:hanging="269"/>
      </w:pPr>
      <w:rPr>
        <w:rFonts w:hint="default"/>
        <w:lang w:val="en-US" w:eastAsia="en-US" w:bidi="ar-SA"/>
      </w:rPr>
    </w:lvl>
    <w:lvl w:ilvl="7" w:tplc="A4888716">
      <w:numFmt w:val="bullet"/>
      <w:lvlText w:val="•"/>
      <w:lvlJc w:val="left"/>
      <w:pPr>
        <w:ind w:left="7958" w:hanging="269"/>
      </w:pPr>
      <w:rPr>
        <w:rFonts w:hint="default"/>
        <w:lang w:val="en-US" w:eastAsia="en-US" w:bidi="ar-SA"/>
      </w:rPr>
    </w:lvl>
    <w:lvl w:ilvl="8" w:tplc="F17A60C6">
      <w:numFmt w:val="bullet"/>
      <w:lvlText w:val="•"/>
      <w:lvlJc w:val="left"/>
      <w:pPr>
        <w:ind w:left="8517" w:hanging="269"/>
      </w:pPr>
      <w:rPr>
        <w:rFonts w:hint="default"/>
        <w:lang w:val="en-US" w:eastAsia="en-US" w:bidi="ar-SA"/>
      </w:rPr>
    </w:lvl>
  </w:abstractNum>
  <w:abstractNum w:abstractNumId="1" w15:restartNumberingAfterBreak="0">
    <w:nsid w:val="05997019"/>
    <w:multiLevelType w:val="hybridMultilevel"/>
    <w:tmpl w:val="666E08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90BCF"/>
    <w:multiLevelType w:val="hybridMultilevel"/>
    <w:tmpl w:val="2C041D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516DE3"/>
    <w:multiLevelType w:val="hybridMultilevel"/>
    <w:tmpl w:val="C482503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C3B55EB"/>
    <w:multiLevelType w:val="hybridMultilevel"/>
    <w:tmpl w:val="9DB4803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1B44F62"/>
    <w:multiLevelType w:val="hybridMultilevel"/>
    <w:tmpl w:val="44607E36"/>
    <w:lvl w:ilvl="0" w:tplc="45484CBE">
      <w:start w:val="1"/>
      <w:numFmt w:val="decimal"/>
      <w:lvlText w:val="%1."/>
      <w:lvlJc w:val="left"/>
      <w:pPr>
        <w:ind w:left="600" w:hanging="360"/>
      </w:pPr>
      <w:rPr>
        <w:rFonts w:ascii="Georgia" w:eastAsia="Georgia" w:hAnsi="Georgia" w:cs="Georgia" w:hint="default"/>
        <w:w w:val="108"/>
        <w:sz w:val="20"/>
        <w:szCs w:val="20"/>
        <w:lang w:val="en-US" w:eastAsia="en-US" w:bidi="ar-SA"/>
      </w:rPr>
    </w:lvl>
    <w:lvl w:ilvl="1" w:tplc="7FB49B80">
      <w:numFmt w:val="bullet"/>
      <w:lvlText w:val="•"/>
      <w:lvlJc w:val="left"/>
      <w:pPr>
        <w:ind w:left="1185" w:hanging="360"/>
      </w:pPr>
      <w:rPr>
        <w:rFonts w:hint="default"/>
        <w:lang w:val="en-US" w:eastAsia="en-US" w:bidi="ar-SA"/>
      </w:rPr>
    </w:lvl>
    <w:lvl w:ilvl="2" w:tplc="F868619A">
      <w:numFmt w:val="bullet"/>
      <w:lvlText w:val="•"/>
      <w:lvlJc w:val="left"/>
      <w:pPr>
        <w:ind w:left="1770" w:hanging="360"/>
      </w:pPr>
      <w:rPr>
        <w:rFonts w:hint="default"/>
        <w:lang w:val="en-US" w:eastAsia="en-US" w:bidi="ar-SA"/>
      </w:rPr>
    </w:lvl>
    <w:lvl w:ilvl="3" w:tplc="B2B0BFBE">
      <w:numFmt w:val="bullet"/>
      <w:lvlText w:val="•"/>
      <w:lvlJc w:val="left"/>
      <w:pPr>
        <w:ind w:left="2355" w:hanging="360"/>
      </w:pPr>
      <w:rPr>
        <w:rFonts w:hint="default"/>
        <w:lang w:val="en-US" w:eastAsia="en-US" w:bidi="ar-SA"/>
      </w:rPr>
    </w:lvl>
    <w:lvl w:ilvl="4" w:tplc="8B5A62FE">
      <w:numFmt w:val="bullet"/>
      <w:lvlText w:val="•"/>
      <w:lvlJc w:val="left"/>
      <w:pPr>
        <w:ind w:left="2940" w:hanging="360"/>
      </w:pPr>
      <w:rPr>
        <w:rFonts w:hint="default"/>
        <w:lang w:val="en-US" w:eastAsia="en-US" w:bidi="ar-SA"/>
      </w:rPr>
    </w:lvl>
    <w:lvl w:ilvl="5" w:tplc="3F422446">
      <w:numFmt w:val="bullet"/>
      <w:lvlText w:val="•"/>
      <w:lvlJc w:val="left"/>
      <w:pPr>
        <w:ind w:left="3525" w:hanging="360"/>
      </w:pPr>
      <w:rPr>
        <w:rFonts w:hint="default"/>
        <w:lang w:val="en-US" w:eastAsia="en-US" w:bidi="ar-SA"/>
      </w:rPr>
    </w:lvl>
    <w:lvl w:ilvl="6" w:tplc="DC16CAAE">
      <w:numFmt w:val="bullet"/>
      <w:lvlText w:val="•"/>
      <w:lvlJc w:val="left"/>
      <w:pPr>
        <w:ind w:left="4110" w:hanging="360"/>
      </w:pPr>
      <w:rPr>
        <w:rFonts w:hint="default"/>
        <w:lang w:val="en-US" w:eastAsia="en-US" w:bidi="ar-SA"/>
      </w:rPr>
    </w:lvl>
    <w:lvl w:ilvl="7" w:tplc="F32449E8">
      <w:numFmt w:val="bullet"/>
      <w:lvlText w:val="•"/>
      <w:lvlJc w:val="left"/>
      <w:pPr>
        <w:ind w:left="4695" w:hanging="360"/>
      </w:pPr>
      <w:rPr>
        <w:rFonts w:hint="default"/>
        <w:lang w:val="en-US" w:eastAsia="en-US" w:bidi="ar-SA"/>
      </w:rPr>
    </w:lvl>
    <w:lvl w:ilvl="8" w:tplc="A4167F6A">
      <w:numFmt w:val="bullet"/>
      <w:lvlText w:val="•"/>
      <w:lvlJc w:val="left"/>
      <w:pPr>
        <w:ind w:left="5280" w:hanging="360"/>
      </w:pPr>
      <w:rPr>
        <w:rFonts w:hint="default"/>
        <w:lang w:val="en-US" w:eastAsia="en-US" w:bidi="ar-SA"/>
      </w:rPr>
    </w:lvl>
  </w:abstractNum>
  <w:abstractNum w:abstractNumId="6" w15:restartNumberingAfterBreak="0">
    <w:nsid w:val="12B145F3"/>
    <w:multiLevelType w:val="hybridMultilevel"/>
    <w:tmpl w:val="73B21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A47199"/>
    <w:multiLevelType w:val="hybridMultilevel"/>
    <w:tmpl w:val="167E3C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AE02D2"/>
    <w:multiLevelType w:val="hybridMultilevel"/>
    <w:tmpl w:val="06203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0162231"/>
    <w:multiLevelType w:val="hybridMultilevel"/>
    <w:tmpl w:val="BF4A2AB8"/>
    <w:lvl w:ilvl="0" w:tplc="1B52572E">
      <w:start w:val="1"/>
      <w:numFmt w:val="decimal"/>
      <w:lvlText w:val="%1."/>
      <w:lvlJc w:val="left"/>
      <w:pPr>
        <w:ind w:left="646" w:hanging="428"/>
      </w:pPr>
      <w:rPr>
        <w:rFonts w:ascii="Georgia" w:eastAsia="Georgia" w:hAnsi="Georgia" w:cs="Georgia" w:hint="default"/>
        <w:w w:val="108"/>
        <w:sz w:val="20"/>
        <w:szCs w:val="20"/>
        <w:lang w:val="en-US" w:eastAsia="en-US" w:bidi="ar-SA"/>
      </w:rPr>
    </w:lvl>
    <w:lvl w:ilvl="1" w:tplc="E500C88C">
      <w:numFmt w:val="bullet"/>
      <w:lvlText w:val="•"/>
      <w:lvlJc w:val="left"/>
      <w:pPr>
        <w:ind w:left="1221" w:hanging="428"/>
      </w:pPr>
      <w:rPr>
        <w:rFonts w:hint="default"/>
        <w:lang w:val="en-US" w:eastAsia="en-US" w:bidi="ar-SA"/>
      </w:rPr>
    </w:lvl>
    <w:lvl w:ilvl="2" w:tplc="284AE750">
      <w:numFmt w:val="bullet"/>
      <w:lvlText w:val="•"/>
      <w:lvlJc w:val="left"/>
      <w:pPr>
        <w:ind w:left="1802" w:hanging="428"/>
      </w:pPr>
      <w:rPr>
        <w:rFonts w:hint="default"/>
        <w:lang w:val="en-US" w:eastAsia="en-US" w:bidi="ar-SA"/>
      </w:rPr>
    </w:lvl>
    <w:lvl w:ilvl="3" w:tplc="A01E3ED2">
      <w:numFmt w:val="bullet"/>
      <w:lvlText w:val="•"/>
      <w:lvlJc w:val="left"/>
      <w:pPr>
        <w:ind w:left="2383" w:hanging="428"/>
      </w:pPr>
      <w:rPr>
        <w:rFonts w:hint="default"/>
        <w:lang w:val="en-US" w:eastAsia="en-US" w:bidi="ar-SA"/>
      </w:rPr>
    </w:lvl>
    <w:lvl w:ilvl="4" w:tplc="83246A8C">
      <w:numFmt w:val="bullet"/>
      <w:lvlText w:val="•"/>
      <w:lvlJc w:val="left"/>
      <w:pPr>
        <w:ind w:left="2964" w:hanging="428"/>
      </w:pPr>
      <w:rPr>
        <w:rFonts w:hint="default"/>
        <w:lang w:val="en-US" w:eastAsia="en-US" w:bidi="ar-SA"/>
      </w:rPr>
    </w:lvl>
    <w:lvl w:ilvl="5" w:tplc="D47C1FE4">
      <w:numFmt w:val="bullet"/>
      <w:lvlText w:val="•"/>
      <w:lvlJc w:val="left"/>
      <w:pPr>
        <w:ind w:left="3545" w:hanging="428"/>
      </w:pPr>
      <w:rPr>
        <w:rFonts w:hint="default"/>
        <w:lang w:val="en-US" w:eastAsia="en-US" w:bidi="ar-SA"/>
      </w:rPr>
    </w:lvl>
    <w:lvl w:ilvl="6" w:tplc="C492CEDA">
      <w:numFmt w:val="bullet"/>
      <w:lvlText w:val="•"/>
      <w:lvlJc w:val="left"/>
      <w:pPr>
        <w:ind w:left="4126" w:hanging="428"/>
      </w:pPr>
      <w:rPr>
        <w:rFonts w:hint="default"/>
        <w:lang w:val="en-US" w:eastAsia="en-US" w:bidi="ar-SA"/>
      </w:rPr>
    </w:lvl>
    <w:lvl w:ilvl="7" w:tplc="091CF77A">
      <w:numFmt w:val="bullet"/>
      <w:lvlText w:val="•"/>
      <w:lvlJc w:val="left"/>
      <w:pPr>
        <w:ind w:left="4707" w:hanging="428"/>
      </w:pPr>
      <w:rPr>
        <w:rFonts w:hint="default"/>
        <w:lang w:val="en-US" w:eastAsia="en-US" w:bidi="ar-SA"/>
      </w:rPr>
    </w:lvl>
    <w:lvl w:ilvl="8" w:tplc="BB7E8802">
      <w:numFmt w:val="bullet"/>
      <w:lvlText w:val="•"/>
      <w:lvlJc w:val="left"/>
      <w:pPr>
        <w:ind w:left="5288" w:hanging="428"/>
      </w:pPr>
      <w:rPr>
        <w:rFonts w:hint="default"/>
        <w:lang w:val="en-US" w:eastAsia="en-US" w:bidi="ar-SA"/>
      </w:rPr>
    </w:lvl>
  </w:abstractNum>
  <w:abstractNum w:abstractNumId="11" w15:restartNumberingAfterBreak="0">
    <w:nsid w:val="28435C06"/>
    <w:multiLevelType w:val="multilevel"/>
    <w:tmpl w:val="C2B2D90E"/>
    <w:lvl w:ilvl="0">
      <w:start w:val="1"/>
      <w:numFmt w:val="decimal"/>
      <w:lvlText w:val="%1."/>
      <w:lvlJc w:val="left"/>
      <w:pPr>
        <w:ind w:left="387" w:hanging="360"/>
      </w:pPr>
      <w:rPr>
        <w:rFonts w:cs="Times New Roman" w:hint="default"/>
      </w:rPr>
    </w:lvl>
    <w:lvl w:ilvl="1">
      <w:start w:val="1"/>
      <w:numFmt w:val="decimal"/>
      <w:isLgl/>
      <w:lvlText w:val="%1.%2."/>
      <w:lvlJc w:val="left"/>
      <w:pPr>
        <w:ind w:left="387" w:hanging="360"/>
      </w:pPr>
      <w:rPr>
        <w:rFonts w:cs="Times New Roman" w:hint="default"/>
      </w:rPr>
    </w:lvl>
    <w:lvl w:ilvl="2">
      <w:start w:val="1"/>
      <w:numFmt w:val="decimal"/>
      <w:isLgl/>
      <w:lvlText w:val="%1.%2.%3."/>
      <w:lvlJc w:val="left"/>
      <w:pPr>
        <w:ind w:left="747" w:hanging="720"/>
      </w:pPr>
      <w:rPr>
        <w:rFonts w:cs="Times New Roman" w:hint="default"/>
      </w:rPr>
    </w:lvl>
    <w:lvl w:ilvl="3">
      <w:start w:val="1"/>
      <w:numFmt w:val="decimal"/>
      <w:isLgl/>
      <w:lvlText w:val="%1.%2.%3.%4."/>
      <w:lvlJc w:val="left"/>
      <w:pPr>
        <w:ind w:left="747" w:hanging="720"/>
      </w:pPr>
      <w:rPr>
        <w:rFonts w:cs="Times New Roman" w:hint="default"/>
      </w:rPr>
    </w:lvl>
    <w:lvl w:ilvl="4">
      <w:start w:val="1"/>
      <w:numFmt w:val="decimal"/>
      <w:isLgl/>
      <w:lvlText w:val="%1.%2.%3.%4.%5."/>
      <w:lvlJc w:val="left"/>
      <w:pPr>
        <w:ind w:left="1107" w:hanging="1080"/>
      </w:pPr>
      <w:rPr>
        <w:rFonts w:cs="Times New Roman" w:hint="default"/>
      </w:rPr>
    </w:lvl>
    <w:lvl w:ilvl="5">
      <w:start w:val="1"/>
      <w:numFmt w:val="decimal"/>
      <w:isLgl/>
      <w:lvlText w:val="%1.%2.%3.%4.%5.%6."/>
      <w:lvlJc w:val="left"/>
      <w:pPr>
        <w:ind w:left="1107" w:hanging="1080"/>
      </w:pPr>
      <w:rPr>
        <w:rFonts w:cs="Times New Roman" w:hint="default"/>
      </w:rPr>
    </w:lvl>
    <w:lvl w:ilvl="6">
      <w:start w:val="1"/>
      <w:numFmt w:val="decimal"/>
      <w:isLgl/>
      <w:lvlText w:val="%1.%2.%3.%4.%5.%6.%7."/>
      <w:lvlJc w:val="left"/>
      <w:pPr>
        <w:ind w:left="1107" w:hanging="1080"/>
      </w:pPr>
      <w:rPr>
        <w:rFonts w:cs="Times New Roman" w:hint="default"/>
      </w:rPr>
    </w:lvl>
    <w:lvl w:ilvl="7">
      <w:start w:val="1"/>
      <w:numFmt w:val="decimal"/>
      <w:isLgl/>
      <w:lvlText w:val="%1.%2.%3.%4.%5.%6.%7.%8."/>
      <w:lvlJc w:val="left"/>
      <w:pPr>
        <w:ind w:left="1467" w:hanging="1440"/>
      </w:pPr>
      <w:rPr>
        <w:rFonts w:cs="Times New Roman" w:hint="default"/>
      </w:rPr>
    </w:lvl>
    <w:lvl w:ilvl="8">
      <w:start w:val="1"/>
      <w:numFmt w:val="decimal"/>
      <w:isLgl/>
      <w:lvlText w:val="%1.%2.%3.%4.%5.%6.%7.%8.%9."/>
      <w:lvlJc w:val="left"/>
      <w:pPr>
        <w:ind w:left="1467" w:hanging="1440"/>
      </w:pPr>
      <w:rPr>
        <w:rFonts w:cs="Times New Roman" w:hint="default"/>
      </w:rPr>
    </w:lvl>
  </w:abstractNum>
  <w:abstractNum w:abstractNumId="12" w15:restartNumberingAfterBreak="0">
    <w:nsid w:val="29C53504"/>
    <w:multiLevelType w:val="hybridMultilevel"/>
    <w:tmpl w:val="DB5254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90225"/>
    <w:multiLevelType w:val="hybridMultilevel"/>
    <w:tmpl w:val="E572C73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30487081"/>
    <w:multiLevelType w:val="hybridMultilevel"/>
    <w:tmpl w:val="AD9E3A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C54036"/>
    <w:multiLevelType w:val="hybridMultilevel"/>
    <w:tmpl w:val="27A088D8"/>
    <w:lvl w:ilvl="0" w:tplc="04090019">
      <w:start w:val="1"/>
      <w:numFmt w:val="lowerLetter"/>
      <w:lvlText w:val="%1."/>
      <w:lvlJc w:val="left"/>
      <w:pPr>
        <w:ind w:left="754" w:hanging="360"/>
      </w:pPr>
      <w:rPr>
        <w:rFonts w:hint="default"/>
        <w:spacing w:val="-10"/>
        <w:w w:val="99"/>
        <w:sz w:val="24"/>
        <w:szCs w:val="24"/>
        <w:lang w:val="id" w:eastAsia="en-US" w:bidi="ar-SA"/>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6" w15:restartNumberingAfterBreak="0">
    <w:nsid w:val="31107CEB"/>
    <w:multiLevelType w:val="hybridMultilevel"/>
    <w:tmpl w:val="11EE15F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C710D38"/>
    <w:multiLevelType w:val="hybridMultilevel"/>
    <w:tmpl w:val="146E3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9" w15:restartNumberingAfterBreak="0">
    <w:nsid w:val="40AB107C"/>
    <w:multiLevelType w:val="hybridMultilevel"/>
    <w:tmpl w:val="312CD32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4458255A"/>
    <w:multiLevelType w:val="hybridMultilevel"/>
    <w:tmpl w:val="72A49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D600F9"/>
    <w:multiLevelType w:val="hybridMultilevel"/>
    <w:tmpl w:val="EBB63CDE"/>
    <w:lvl w:ilvl="0" w:tplc="5A48E270">
      <w:start w:val="1"/>
      <w:numFmt w:val="decimal"/>
      <w:lvlText w:val="%1."/>
      <w:lvlJc w:val="left"/>
      <w:pPr>
        <w:ind w:left="586" w:hanging="360"/>
      </w:pPr>
      <w:rPr>
        <w:rFonts w:ascii="Georgia" w:eastAsia="Georgia" w:hAnsi="Georgia" w:cs="Georgia" w:hint="default"/>
        <w:w w:val="108"/>
        <w:sz w:val="20"/>
        <w:szCs w:val="20"/>
        <w:lang w:val="en-US" w:eastAsia="en-US" w:bidi="ar-SA"/>
      </w:rPr>
    </w:lvl>
    <w:lvl w:ilvl="1" w:tplc="68A03022">
      <w:numFmt w:val="bullet"/>
      <w:lvlText w:val="•"/>
      <w:lvlJc w:val="left"/>
      <w:pPr>
        <w:ind w:left="1167" w:hanging="360"/>
      </w:pPr>
      <w:rPr>
        <w:rFonts w:hint="default"/>
        <w:lang w:val="en-US" w:eastAsia="en-US" w:bidi="ar-SA"/>
      </w:rPr>
    </w:lvl>
    <w:lvl w:ilvl="2" w:tplc="F10842EA">
      <w:numFmt w:val="bullet"/>
      <w:lvlText w:val="•"/>
      <w:lvlJc w:val="left"/>
      <w:pPr>
        <w:ind w:left="1754" w:hanging="360"/>
      </w:pPr>
      <w:rPr>
        <w:rFonts w:hint="default"/>
        <w:lang w:val="en-US" w:eastAsia="en-US" w:bidi="ar-SA"/>
      </w:rPr>
    </w:lvl>
    <w:lvl w:ilvl="3" w:tplc="9A6829C6">
      <w:numFmt w:val="bullet"/>
      <w:lvlText w:val="•"/>
      <w:lvlJc w:val="left"/>
      <w:pPr>
        <w:ind w:left="2341" w:hanging="360"/>
      </w:pPr>
      <w:rPr>
        <w:rFonts w:hint="default"/>
        <w:lang w:val="en-US" w:eastAsia="en-US" w:bidi="ar-SA"/>
      </w:rPr>
    </w:lvl>
    <w:lvl w:ilvl="4" w:tplc="184C7180">
      <w:numFmt w:val="bullet"/>
      <w:lvlText w:val="•"/>
      <w:lvlJc w:val="left"/>
      <w:pPr>
        <w:ind w:left="2928" w:hanging="360"/>
      </w:pPr>
      <w:rPr>
        <w:rFonts w:hint="default"/>
        <w:lang w:val="en-US" w:eastAsia="en-US" w:bidi="ar-SA"/>
      </w:rPr>
    </w:lvl>
    <w:lvl w:ilvl="5" w:tplc="B260B2A6">
      <w:numFmt w:val="bullet"/>
      <w:lvlText w:val="•"/>
      <w:lvlJc w:val="left"/>
      <w:pPr>
        <w:ind w:left="3515" w:hanging="360"/>
      </w:pPr>
      <w:rPr>
        <w:rFonts w:hint="default"/>
        <w:lang w:val="en-US" w:eastAsia="en-US" w:bidi="ar-SA"/>
      </w:rPr>
    </w:lvl>
    <w:lvl w:ilvl="6" w:tplc="29C61304">
      <w:numFmt w:val="bullet"/>
      <w:lvlText w:val="•"/>
      <w:lvlJc w:val="left"/>
      <w:pPr>
        <w:ind w:left="4102" w:hanging="360"/>
      </w:pPr>
      <w:rPr>
        <w:rFonts w:hint="default"/>
        <w:lang w:val="en-US" w:eastAsia="en-US" w:bidi="ar-SA"/>
      </w:rPr>
    </w:lvl>
    <w:lvl w:ilvl="7" w:tplc="E8C68FE2">
      <w:numFmt w:val="bullet"/>
      <w:lvlText w:val="•"/>
      <w:lvlJc w:val="left"/>
      <w:pPr>
        <w:ind w:left="4689" w:hanging="360"/>
      </w:pPr>
      <w:rPr>
        <w:rFonts w:hint="default"/>
        <w:lang w:val="en-US" w:eastAsia="en-US" w:bidi="ar-SA"/>
      </w:rPr>
    </w:lvl>
    <w:lvl w:ilvl="8" w:tplc="370E65E2">
      <w:numFmt w:val="bullet"/>
      <w:lvlText w:val="•"/>
      <w:lvlJc w:val="left"/>
      <w:pPr>
        <w:ind w:left="5276" w:hanging="360"/>
      </w:pPr>
      <w:rPr>
        <w:rFonts w:hint="default"/>
        <w:lang w:val="en-US" w:eastAsia="en-US" w:bidi="ar-SA"/>
      </w:rPr>
    </w:lvl>
  </w:abstractNum>
  <w:abstractNum w:abstractNumId="22" w15:restartNumberingAfterBreak="0">
    <w:nsid w:val="4DE47017"/>
    <w:multiLevelType w:val="hybridMultilevel"/>
    <w:tmpl w:val="D61A37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E4F75F2"/>
    <w:multiLevelType w:val="hybridMultilevel"/>
    <w:tmpl w:val="0BBEBA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745892"/>
    <w:multiLevelType w:val="hybridMultilevel"/>
    <w:tmpl w:val="146E3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8732DB"/>
    <w:multiLevelType w:val="hybridMultilevel"/>
    <w:tmpl w:val="4DB6BF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4FB7823"/>
    <w:multiLevelType w:val="hybridMultilevel"/>
    <w:tmpl w:val="70D40E8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C27B24"/>
    <w:multiLevelType w:val="hybridMultilevel"/>
    <w:tmpl w:val="D0085506"/>
    <w:lvl w:ilvl="0" w:tplc="04090019">
      <w:start w:val="1"/>
      <w:numFmt w:val="lowerLetter"/>
      <w:lvlText w:val="%1."/>
      <w:lvlJc w:val="left"/>
      <w:pPr>
        <w:ind w:left="720" w:hanging="360"/>
      </w:pPr>
      <w:rPr>
        <w:rFonts w:hint="default"/>
        <w:spacing w:val="-10"/>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2587A"/>
    <w:multiLevelType w:val="hybridMultilevel"/>
    <w:tmpl w:val="9C1C4E12"/>
    <w:lvl w:ilvl="0" w:tplc="D17C253A">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64990832"/>
    <w:multiLevelType w:val="hybridMultilevel"/>
    <w:tmpl w:val="2814D7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365837"/>
    <w:multiLevelType w:val="hybridMultilevel"/>
    <w:tmpl w:val="81BEC3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038CB"/>
    <w:multiLevelType w:val="hybridMultilevel"/>
    <w:tmpl w:val="F156320E"/>
    <w:lvl w:ilvl="0" w:tplc="B8B45124">
      <w:numFmt w:val="bullet"/>
      <w:lvlText w:val="&gt;"/>
      <w:lvlJc w:val="left"/>
      <w:pPr>
        <w:ind w:left="3680" w:hanging="155"/>
      </w:pPr>
      <w:rPr>
        <w:rFonts w:ascii="Georgia" w:eastAsia="Georgia" w:hAnsi="Georgia" w:cs="Georgia" w:hint="default"/>
        <w:w w:val="85"/>
        <w:sz w:val="20"/>
        <w:szCs w:val="20"/>
        <w:lang w:val="en-US" w:eastAsia="en-US" w:bidi="ar-SA"/>
      </w:rPr>
    </w:lvl>
    <w:lvl w:ilvl="1" w:tplc="4A786362">
      <w:numFmt w:val="bullet"/>
      <w:lvlText w:val="•"/>
      <w:lvlJc w:val="left"/>
      <w:pPr>
        <w:ind w:left="4336" w:hanging="155"/>
      </w:pPr>
      <w:rPr>
        <w:rFonts w:hint="default"/>
        <w:lang w:val="en-US" w:eastAsia="en-US" w:bidi="ar-SA"/>
      </w:rPr>
    </w:lvl>
    <w:lvl w:ilvl="2" w:tplc="163C6E9C">
      <w:numFmt w:val="bullet"/>
      <w:lvlText w:val="•"/>
      <w:lvlJc w:val="left"/>
      <w:pPr>
        <w:ind w:left="4993" w:hanging="155"/>
      </w:pPr>
      <w:rPr>
        <w:rFonts w:hint="default"/>
        <w:lang w:val="en-US" w:eastAsia="en-US" w:bidi="ar-SA"/>
      </w:rPr>
    </w:lvl>
    <w:lvl w:ilvl="3" w:tplc="C7A8F748">
      <w:numFmt w:val="bullet"/>
      <w:lvlText w:val="•"/>
      <w:lvlJc w:val="left"/>
      <w:pPr>
        <w:ind w:left="5649" w:hanging="155"/>
      </w:pPr>
      <w:rPr>
        <w:rFonts w:hint="default"/>
        <w:lang w:val="en-US" w:eastAsia="en-US" w:bidi="ar-SA"/>
      </w:rPr>
    </w:lvl>
    <w:lvl w:ilvl="4" w:tplc="391E89A2">
      <w:numFmt w:val="bullet"/>
      <w:lvlText w:val="•"/>
      <w:lvlJc w:val="left"/>
      <w:pPr>
        <w:ind w:left="6306" w:hanging="155"/>
      </w:pPr>
      <w:rPr>
        <w:rFonts w:hint="default"/>
        <w:lang w:val="en-US" w:eastAsia="en-US" w:bidi="ar-SA"/>
      </w:rPr>
    </w:lvl>
    <w:lvl w:ilvl="5" w:tplc="AAD092D0">
      <w:numFmt w:val="bullet"/>
      <w:lvlText w:val="•"/>
      <w:lvlJc w:val="left"/>
      <w:pPr>
        <w:ind w:left="6963" w:hanging="155"/>
      </w:pPr>
      <w:rPr>
        <w:rFonts w:hint="default"/>
        <w:lang w:val="en-US" w:eastAsia="en-US" w:bidi="ar-SA"/>
      </w:rPr>
    </w:lvl>
    <w:lvl w:ilvl="6" w:tplc="C60EA44C">
      <w:numFmt w:val="bullet"/>
      <w:lvlText w:val="•"/>
      <w:lvlJc w:val="left"/>
      <w:pPr>
        <w:ind w:left="7619" w:hanging="155"/>
      </w:pPr>
      <w:rPr>
        <w:rFonts w:hint="default"/>
        <w:lang w:val="en-US" w:eastAsia="en-US" w:bidi="ar-SA"/>
      </w:rPr>
    </w:lvl>
    <w:lvl w:ilvl="7" w:tplc="5FC468E6">
      <w:numFmt w:val="bullet"/>
      <w:lvlText w:val="•"/>
      <w:lvlJc w:val="left"/>
      <w:pPr>
        <w:ind w:left="8276" w:hanging="155"/>
      </w:pPr>
      <w:rPr>
        <w:rFonts w:hint="default"/>
        <w:lang w:val="en-US" w:eastAsia="en-US" w:bidi="ar-SA"/>
      </w:rPr>
    </w:lvl>
    <w:lvl w:ilvl="8" w:tplc="D376E308">
      <w:numFmt w:val="bullet"/>
      <w:lvlText w:val="•"/>
      <w:lvlJc w:val="left"/>
      <w:pPr>
        <w:ind w:left="8933" w:hanging="155"/>
      </w:pPr>
      <w:rPr>
        <w:rFonts w:hint="default"/>
        <w:lang w:val="en-US" w:eastAsia="en-US" w:bidi="ar-SA"/>
      </w:rPr>
    </w:lvl>
  </w:abstractNum>
  <w:abstractNum w:abstractNumId="33"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F8D38EA"/>
    <w:multiLevelType w:val="hybridMultilevel"/>
    <w:tmpl w:val="4650FF74"/>
    <w:lvl w:ilvl="0" w:tplc="C8A02678">
      <w:start w:val="1"/>
      <w:numFmt w:val="decimal"/>
      <w:lvlText w:val="%1."/>
      <w:lvlJc w:val="left"/>
      <w:pPr>
        <w:ind w:left="600" w:hanging="360"/>
      </w:pPr>
      <w:rPr>
        <w:rFonts w:ascii="Georgia" w:eastAsia="Georgia" w:hAnsi="Georgia" w:cs="Georgia" w:hint="default"/>
        <w:w w:val="108"/>
        <w:sz w:val="20"/>
        <w:szCs w:val="20"/>
        <w:lang w:val="en-US" w:eastAsia="en-US" w:bidi="ar-SA"/>
      </w:rPr>
    </w:lvl>
    <w:lvl w:ilvl="1" w:tplc="1416F120">
      <w:start w:val="1"/>
      <w:numFmt w:val="lowerLetter"/>
      <w:lvlText w:val="%2."/>
      <w:lvlJc w:val="left"/>
      <w:pPr>
        <w:ind w:left="881" w:hanging="281"/>
      </w:pPr>
      <w:rPr>
        <w:rFonts w:ascii="Georgia" w:eastAsia="Georgia" w:hAnsi="Georgia" w:cs="Georgia" w:hint="default"/>
        <w:spacing w:val="0"/>
        <w:w w:val="89"/>
        <w:sz w:val="20"/>
        <w:szCs w:val="20"/>
        <w:lang w:val="en-US" w:eastAsia="en-US" w:bidi="ar-SA"/>
      </w:rPr>
    </w:lvl>
    <w:lvl w:ilvl="2" w:tplc="0EFEA4E2">
      <w:numFmt w:val="bullet"/>
      <w:lvlText w:val="•"/>
      <w:lvlJc w:val="left"/>
      <w:pPr>
        <w:ind w:left="1499" w:hanging="281"/>
      </w:pPr>
      <w:rPr>
        <w:rFonts w:hint="default"/>
        <w:lang w:val="en-US" w:eastAsia="en-US" w:bidi="ar-SA"/>
      </w:rPr>
    </w:lvl>
    <w:lvl w:ilvl="3" w:tplc="05828644">
      <w:numFmt w:val="bullet"/>
      <w:lvlText w:val="•"/>
      <w:lvlJc w:val="left"/>
      <w:pPr>
        <w:ind w:left="2118" w:hanging="281"/>
      </w:pPr>
      <w:rPr>
        <w:rFonts w:hint="default"/>
        <w:lang w:val="en-US" w:eastAsia="en-US" w:bidi="ar-SA"/>
      </w:rPr>
    </w:lvl>
    <w:lvl w:ilvl="4" w:tplc="68341C3C">
      <w:numFmt w:val="bullet"/>
      <w:lvlText w:val="•"/>
      <w:lvlJc w:val="left"/>
      <w:pPr>
        <w:ind w:left="2737" w:hanging="281"/>
      </w:pPr>
      <w:rPr>
        <w:rFonts w:hint="default"/>
        <w:lang w:val="en-US" w:eastAsia="en-US" w:bidi="ar-SA"/>
      </w:rPr>
    </w:lvl>
    <w:lvl w:ilvl="5" w:tplc="95FC90DE">
      <w:numFmt w:val="bullet"/>
      <w:lvlText w:val="•"/>
      <w:lvlJc w:val="left"/>
      <w:pPr>
        <w:ind w:left="3356" w:hanging="281"/>
      </w:pPr>
      <w:rPr>
        <w:rFonts w:hint="default"/>
        <w:lang w:val="en-US" w:eastAsia="en-US" w:bidi="ar-SA"/>
      </w:rPr>
    </w:lvl>
    <w:lvl w:ilvl="6" w:tplc="FBAECEB0">
      <w:numFmt w:val="bullet"/>
      <w:lvlText w:val="•"/>
      <w:lvlJc w:val="left"/>
      <w:pPr>
        <w:ind w:left="3975" w:hanging="281"/>
      </w:pPr>
      <w:rPr>
        <w:rFonts w:hint="default"/>
        <w:lang w:val="en-US" w:eastAsia="en-US" w:bidi="ar-SA"/>
      </w:rPr>
    </w:lvl>
    <w:lvl w:ilvl="7" w:tplc="CCC8943E">
      <w:numFmt w:val="bullet"/>
      <w:lvlText w:val="•"/>
      <w:lvlJc w:val="left"/>
      <w:pPr>
        <w:ind w:left="4594" w:hanging="281"/>
      </w:pPr>
      <w:rPr>
        <w:rFonts w:hint="default"/>
        <w:lang w:val="en-US" w:eastAsia="en-US" w:bidi="ar-SA"/>
      </w:rPr>
    </w:lvl>
    <w:lvl w:ilvl="8" w:tplc="8E40A610">
      <w:numFmt w:val="bullet"/>
      <w:lvlText w:val="•"/>
      <w:lvlJc w:val="left"/>
      <w:pPr>
        <w:ind w:left="5213" w:hanging="281"/>
      </w:pPr>
      <w:rPr>
        <w:rFonts w:hint="default"/>
        <w:lang w:val="en-US" w:eastAsia="en-US" w:bidi="ar-SA"/>
      </w:rPr>
    </w:lvl>
  </w:abstractNum>
  <w:abstractNum w:abstractNumId="35" w15:restartNumberingAfterBreak="0">
    <w:nsid w:val="71EE108D"/>
    <w:multiLevelType w:val="hybridMultilevel"/>
    <w:tmpl w:val="312818CC"/>
    <w:lvl w:ilvl="0" w:tplc="04090019">
      <w:start w:val="1"/>
      <w:numFmt w:val="lowerLetter"/>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36" w15:restartNumberingAfterBreak="0">
    <w:nsid w:val="7619650D"/>
    <w:multiLevelType w:val="hybridMultilevel"/>
    <w:tmpl w:val="5E2C2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7EF6A88"/>
    <w:multiLevelType w:val="hybridMultilevel"/>
    <w:tmpl w:val="73B21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FF8326D"/>
    <w:multiLevelType w:val="hybridMultilevel"/>
    <w:tmpl w:val="5708437A"/>
    <w:lvl w:ilvl="0" w:tplc="0409000F">
      <w:start w:val="1"/>
      <w:numFmt w:val="decimal"/>
      <w:lvlText w:val="%1."/>
      <w:lvlJc w:val="left"/>
      <w:pPr>
        <w:ind w:left="938" w:hanging="360"/>
      </w:p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num w:numId="1">
    <w:abstractNumId w:val="18"/>
  </w:num>
  <w:num w:numId="2">
    <w:abstractNumId w:val="7"/>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8"/>
  </w:num>
  <w:num w:numId="9">
    <w:abstractNumId w:val="11"/>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9"/>
  </w:num>
  <w:num w:numId="22">
    <w:abstractNumId w:val="33"/>
  </w:num>
  <w:num w:numId="23">
    <w:abstractNumId w:val="22"/>
  </w:num>
  <w:num w:numId="24">
    <w:abstractNumId w:val="9"/>
  </w:num>
  <w:num w:numId="25">
    <w:abstractNumId w:val="2"/>
  </w:num>
  <w:num w:numId="26">
    <w:abstractNumId w:val="4"/>
  </w:num>
  <w:num w:numId="27">
    <w:abstractNumId w:val="16"/>
  </w:num>
  <w:num w:numId="28">
    <w:abstractNumId w:val="10"/>
  </w:num>
  <w:num w:numId="29">
    <w:abstractNumId w:val="5"/>
  </w:num>
  <w:num w:numId="30">
    <w:abstractNumId w:val="21"/>
  </w:num>
  <w:num w:numId="31">
    <w:abstractNumId w:val="0"/>
  </w:num>
  <w:num w:numId="32">
    <w:abstractNumId w:val="34"/>
  </w:num>
  <w:num w:numId="33">
    <w:abstractNumId w:val="32"/>
  </w:num>
  <w:num w:numId="34">
    <w:abstractNumId w:val="1"/>
  </w:num>
  <w:num w:numId="35">
    <w:abstractNumId w:val="27"/>
  </w:num>
  <w:num w:numId="36">
    <w:abstractNumId w:val="26"/>
  </w:num>
  <w:num w:numId="37">
    <w:abstractNumId w:val="3"/>
  </w:num>
  <w:num w:numId="38">
    <w:abstractNumId w:val="19"/>
  </w:num>
  <w:num w:numId="39">
    <w:abstractNumId w:val="13"/>
  </w:num>
  <w:num w:numId="4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51"/>
    <w:rsid w:val="000030B8"/>
    <w:rsid w:val="000031D5"/>
    <w:rsid w:val="0000385F"/>
    <w:rsid w:val="00003BED"/>
    <w:rsid w:val="00003F1A"/>
    <w:rsid w:val="000056D3"/>
    <w:rsid w:val="00007893"/>
    <w:rsid w:val="00010350"/>
    <w:rsid w:val="00012391"/>
    <w:rsid w:val="000135E6"/>
    <w:rsid w:val="00021751"/>
    <w:rsid w:val="000225CC"/>
    <w:rsid w:val="000264A3"/>
    <w:rsid w:val="00030482"/>
    <w:rsid w:val="00030535"/>
    <w:rsid w:val="00034242"/>
    <w:rsid w:val="00034A7A"/>
    <w:rsid w:val="00036836"/>
    <w:rsid w:val="00044594"/>
    <w:rsid w:val="00045BD7"/>
    <w:rsid w:val="00047A7C"/>
    <w:rsid w:val="000504C0"/>
    <w:rsid w:val="00052F4D"/>
    <w:rsid w:val="00053C13"/>
    <w:rsid w:val="0005562A"/>
    <w:rsid w:val="00055995"/>
    <w:rsid w:val="00057198"/>
    <w:rsid w:val="0005795A"/>
    <w:rsid w:val="00061DC5"/>
    <w:rsid w:val="00064EED"/>
    <w:rsid w:val="00075209"/>
    <w:rsid w:val="00076A62"/>
    <w:rsid w:val="00080334"/>
    <w:rsid w:val="000822D1"/>
    <w:rsid w:val="00082632"/>
    <w:rsid w:val="000826B2"/>
    <w:rsid w:val="0008520E"/>
    <w:rsid w:val="00092C87"/>
    <w:rsid w:val="00093E3E"/>
    <w:rsid w:val="00097202"/>
    <w:rsid w:val="000A3362"/>
    <w:rsid w:val="000A3D44"/>
    <w:rsid w:val="000A3DD4"/>
    <w:rsid w:val="000A4EF2"/>
    <w:rsid w:val="000A50DB"/>
    <w:rsid w:val="000B1561"/>
    <w:rsid w:val="000B2EBF"/>
    <w:rsid w:val="000B3983"/>
    <w:rsid w:val="000C2DFC"/>
    <w:rsid w:val="000D0C57"/>
    <w:rsid w:val="000D5B40"/>
    <w:rsid w:val="000E5841"/>
    <w:rsid w:val="000F0650"/>
    <w:rsid w:val="000F0D1C"/>
    <w:rsid w:val="000F42A0"/>
    <w:rsid w:val="000F784C"/>
    <w:rsid w:val="0010224B"/>
    <w:rsid w:val="001028CB"/>
    <w:rsid w:val="001032CF"/>
    <w:rsid w:val="001040A0"/>
    <w:rsid w:val="00105908"/>
    <w:rsid w:val="00106587"/>
    <w:rsid w:val="00106FE3"/>
    <w:rsid w:val="001101AA"/>
    <w:rsid w:val="001114FB"/>
    <w:rsid w:val="00113F45"/>
    <w:rsid w:val="00123760"/>
    <w:rsid w:val="00125C97"/>
    <w:rsid w:val="00127942"/>
    <w:rsid w:val="001306F1"/>
    <w:rsid w:val="001334B1"/>
    <w:rsid w:val="001378D7"/>
    <w:rsid w:val="001419B0"/>
    <w:rsid w:val="001459DB"/>
    <w:rsid w:val="0014713A"/>
    <w:rsid w:val="001473F8"/>
    <w:rsid w:val="0015067E"/>
    <w:rsid w:val="001552B3"/>
    <w:rsid w:val="00155E33"/>
    <w:rsid w:val="00157598"/>
    <w:rsid w:val="00162178"/>
    <w:rsid w:val="00162A6C"/>
    <w:rsid w:val="00163448"/>
    <w:rsid w:val="00163FA2"/>
    <w:rsid w:val="0016424C"/>
    <w:rsid w:val="00164B80"/>
    <w:rsid w:val="00166C2F"/>
    <w:rsid w:val="00172FCB"/>
    <w:rsid w:val="0017401B"/>
    <w:rsid w:val="00175706"/>
    <w:rsid w:val="00175EA6"/>
    <w:rsid w:val="00176208"/>
    <w:rsid w:val="001821CF"/>
    <w:rsid w:val="00190C67"/>
    <w:rsid w:val="0019273A"/>
    <w:rsid w:val="00194EB8"/>
    <w:rsid w:val="00195E14"/>
    <w:rsid w:val="001A01C5"/>
    <w:rsid w:val="001A06C4"/>
    <w:rsid w:val="001A098D"/>
    <w:rsid w:val="001A233D"/>
    <w:rsid w:val="001A36A9"/>
    <w:rsid w:val="001B3C7B"/>
    <w:rsid w:val="001B4A53"/>
    <w:rsid w:val="001C35EE"/>
    <w:rsid w:val="001C5110"/>
    <w:rsid w:val="001D2194"/>
    <w:rsid w:val="001E1906"/>
    <w:rsid w:val="001F233C"/>
    <w:rsid w:val="001F6649"/>
    <w:rsid w:val="001F67CC"/>
    <w:rsid w:val="001F6F9D"/>
    <w:rsid w:val="00206E7D"/>
    <w:rsid w:val="002074DF"/>
    <w:rsid w:val="0020784C"/>
    <w:rsid w:val="00210997"/>
    <w:rsid w:val="002157F3"/>
    <w:rsid w:val="002201E3"/>
    <w:rsid w:val="00226140"/>
    <w:rsid w:val="002314AD"/>
    <w:rsid w:val="002317E5"/>
    <w:rsid w:val="00232850"/>
    <w:rsid w:val="002366B1"/>
    <w:rsid w:val="00247535"/>
    <w:rsid w:val="00247A9C"/>
    <w:rsid w:val="0025094C"/>
    <w:rsid w:val="00251356"/>
    <w:rsid w:val="00252FF8"/>
    <w:rsid w:val="00253C79"/>
    <w:rsid w:val="002559B0"/>
    <w:rsid w:val="00255AC0"/>
    <w:rsid w:val="00257728"/>
    <w:rsid w:val="00260A54"/>
    <w:rsid w:val="0026125F"/>
    <w:rsid w:val="00263ECB"/>
    <w:rsid w:val="00265DA2"/>
    <w:rsid w:val="002677F3"/>
    <w:rsid w:val="0027186B"/>
    <w:rsid w:val="0027226C"/>
    <w:rsid w:val="0027261B"/>
    <w:rsid w:val="002767CD"/>
    <w:rsid w:val="00281B59"/>
    <w:rsid w:val="00287141"/>
    <w:rsid w:val="00290D69"/>
    <w:rsid w:val="002966F5"/>
    <w:rsid w:val="002975A8"/>
    <w:rsid w:val="002A05F3"/>
    <w:rsid w:val="002A283A"/>
    <w:rsid w:val="002A5B4E"/>
    <w:rsid w:val="002A6AB7"/>
    <w:rsid w:val="002A6E5A"/>
    <w:rsid w:val="002A7F65"/>
    <w:rsid w:val="002B0E53"/>
    <w:rsid w:val="002B1B19"/>
    <w:rsid w:val="002B1FD1"/>
    <w:rsid w:val="002B2123"/>
    <w:rsid w:val="002B3614"/>
    <w:rsid w:val="002B4748"/>
    <w:rsid w:val="002B5738"/>
    <w:rsid w:val="002C0AD9"/>
    <w:rsid w:val="002C4DFF"/>
    <w:rsid w:val="002C631D"/>
    <w:rsid w:val="002C7EB8"/>
    <w:rsid w:val="002D148D"/>
    <w:rsid w:val="002D3468"/>
    <w:rsid w:val="002D3A16"/>
    <w:rsid w:val="002D50A5"/>
    <w:rsid w:val="002E497E"/>
    <w:rsid w:val="002E49A3"/>
    <w:rsid w:val="002E49B4"/>
    <w:rsid w:val="002F45EC"/>
    <w:rsid w:val="002F69A0"/>
    <w:rsid w:val="002F75F8"/>
    <w:rsid w:val="002F771E"/>
    <w:rsid w:val="002F78B0"/>
    <w:rsid w:val="003050E7"/>
    <w:rsid w:val="003168A8"/>
    <w:rsid w:val="003170DA"/>
    <w:rsid w:val="00324873"/>
    <w:rsid w:val="003377D7"/>
    <w:rsid w:val="00337AFA"/>
    <w:rsid w:val="003416C2"/>
    <w:rsid w:val="0034220E"/>
    <w:rsid w:val="00342E8F"/>
    <w:rsid w:val="00346264"/>
    <w:rsid w:val="003477E0"/>
    <w:rsid w:val="00350346"/>
    <w:rsid w:val="00350850"/>
    <w:rsid w:val="00351318"/>
    <w:rsid w:val="003567A4"/>
    <w:rsid w:val="00356D38"/>
    <w:rsid w:val="00356ECE"/>
    <w:rsid w:val="0036158C"/>
    <w:rsid w:val="0036384D"/>
    <w:rsid w:val="00363D53"/>
    <w:rsid w:val="00363E31"/>
    <w:rsid w:val="00365A9B"/>
    <w:rsid w:val="00366ADE"/>
    <w:rsid w:val="0036722B"/>
    <w:rsid w:val="00370BF3"/>
    <w:rsid w:val="00371BE9"/>
    <w:rsid w:val="00373439"/>
    <w:rsid w:val="0037522E"/>
    <w:rsid w:val="00380CFC"/>
    <w:rsid w:val="003828A3"/>
    <w:rsid w:val="00383C51"/>
    <w:rsid w:val="003876E2"/>
    <w:rsid w:val="00391951"/>
    <w:rsid w:val="003A6628"/>
    <w:rsid w:val="003A7DBB"/>
    <w:rsid w:val="003B01EC"/>
    <w:rsid w:val="003B0B37"/>
    <w:rsid w:val="003B3775"/>
    <w:rsid w:val="003B582D"/>
    <w:rsid w:val="003C1542"/>
    <w:rsid w:val="003C3518"/>
    <w:rsid w:val="003C3DB7"/>
    <w:rsid w:val="003D785C"/>
    <w:rsid w:val="003E11B2"/>
    <w:rsid w:val="003E418F"/>
    <w:rsid w:val="003F0063"/>
    <w:rsid w:val="003F1FE8"/>
    <w:rsid w:val="003F317E"/>
    <w:rsid w:val="003F54B9"/>
    <w:rsid w:val="003F5C20"/>
    <w:rsid w:val="00404621"/>
    <w:rsid w:val="00410542"/>
    <w:rsid w:val="0041122C"/>
    <w:rsid w:val="00413162"/>
    <w:rsid w:val="004143B5"/>
    <w:rsid w:val="00417938"/>
    <w:rsid w:val="004225E8"/>
    <w:rsid w:val="004276B8"/>
    <w:rsid w:val="00427B5B"/>
    <w:rsid w:val="00427BF8"/>
    <w:rsid w:val="004316A7"/>
    <w:rsid w:val="004370E5"/>
    <w:rsid w:val="00440EEF"/>
    <w:rsid w:val="00442AEC"/>
    <w:rsid w:val="00445023"/>
    <w:rsid w:val="0044623E"/>
    <w:rsid w:val="00452A8A"/>
    <w:rsid w:val="0045628C"/>
    <w:rsid w:val="00456C92"/>
    <w:rsid w:val="0046631C"/>
    <w:rsid w:val="004663E8"/>
    <w:rsid w:val="004808C0"/>
    <w:rsid w:val="00481585"/>
    <w:rsid w:val="00481AE1"/>
    <w:rsid w:val="00483193"/>
    <w:rsid w:val="0048361C"/>
    <w:rsid w:val="004855E4"/>
    <w:rsid w:val="00485AAD"/>
    <w:rsid w:val="00492556"/>
    <w:rsid w:val="004A221B"/>
    <w:rsid w:val="004B0719"/>
    <w:rsid w:val="004B135E"/>
    <w:rsid w:val="004B15F6"/>
    <w:rsid w:val="004B1AF3"/>
    <w:rsid w:val="004B362D"/>
    <w:rsid w:val="004B59EB"/>
    <w:rsid w:val="004B6C4D"/>
    <w:rsid w:val="004C21EC"/>
    <w:rsid w:val="004C3E22"/>
    <w:rsid w:val="004C700F"/>
    <w:rsid w:val="004D5A6D"/>
    <w:rsid w:val="004E3251"/>
    <w:rsid w:val="004E3ED4"/>
    <w:rsid w:val="004F1A9C"/>
    <w:rsid w:val="004F2275"/>
    <w:rsid w:val="004F2ECD"/>
    <w:rsid w:val="004F3D6D"/>
    <w:rsid w:val="004F6091"/>
    <w:rsid w:val="005045B9"/>
    <w:rsid w:val="00506430"/>
    <w:rsid w:val="00507A02"/>
    <w:rsid w:val="00511F53"/>
    <w:rsid w:val="0051306B"/>
    <w:rsid w:val="0051325C"/>
    <w:rsid w:val="00515383"/>
    <w:rsid w:val="0052333E"/>
    <w:rsid w:val="00526F33"/>
    <w:rsid w:val="00531C6C"/>
    <w:rsid w:val="00536034"/>
    <w:rsid w:val="005373E7"/>
    <w:rsid w:val="0054192F"/>
    <w:rsid w:val="005429D6"/>
    <w:rsid w:val="005432B0"/>
    <w:rsid w:val="00545C43"/>
    <w:rsid w:val="00550573"/>
    <w:rsid w:val="00556937"/>
    <w:rsid w:val="005631E4"/>
    <w:rsid w:val="00567531"/>
    <w:rsid w:val="00574AF2"/>
    <w:rsid w:val="0057536D"/>
    <w:rsid w:val="005771F4"/>
    <w:rsid w:val="0058093B"/>
    <w:rsid w:val="00581214"/>
    <w:rsid w:val="00584FCC"/>
    <w:rsid w:val="005A1688"/>
    <w:rsid w:val="005A4780"/>
    <w:rsid w:val="005A6063"/>
    <w:rsid w:val="005A73D0"/>
    <w:rsid w:val="005B3A14"/>
    <w:rsid w:val="005B3E10"/>
    <w:rsid w:val="005B7DE7"/>
    <w:rsid w:val="005C02B8"/>
    <w:rsid w:val="005C147A"/>
    <w:rsid w:val="005C5446"/>
    <w:rsid w:val="005C5E3F"/>
    <w:rsid w:val="005C638F"/>
    <w:rsid w:val="005C72DC"/>
    <w:rsid w:val="005D0022"/>
    <w:rsid w:val="005D1ED1"/>
    <w:rsid w:val="005D2743"/>
    <w:rsid w:val="005D6288"/>
    <w:rsid w:val="005E0F5C"/>
    <w:rsid w:val="005E56B9"/>
    <w:rsid w:val="005F0262"/>
    <w:rsid w:val="005F1E49"/>
    <w:rsid w:val="005F2770"/>
    <w:rsid w:val="005F333B"/>
    <w:rsid w:val="005F4A36"/>
    <w:rsid w:val="005F4CB1"/>
    <w:rsid w:val="005F598C"/>
    <w:rsid w:val="005F5F59"/>
    <w:rsid w:val="005F6F95"/>
    <w:rsid w:val="00602923"/>
    <w:rsid w:val="00605085"/>
    <w:rsid w:val="006076F5"/>
    <w:rsid w:val="00611C3D"/>
    <w:rsid w:val="006121C1"/>
    <w:rsid w:val="00612976"/>
    <w:rsid w:val="00613CE1"/>
    <w:rsid w:val="00614B83"/>
    <w:rsid w:val="00615E0A"/>
    <w:rsid w:val="00625FAE"/>
    <w:rsid w:val="006334B7"/>
    <w:rsid w:val="00636365"/>
    <w:rsid w:val="006367F3"/>
    <w:rsid w:val="006369BA"/>
    <w:rsid w:val="00637C7E"/>
    <w:rsid w:val="00640094"/>
    <w:rsid w:val="00641474"/>
    <w:rsid w:val="00645978"/>
    <w:rsid w:val="006474BA"/>
    <w:rsid w:val="00647665"/>
    <w:rsid w:val="00647D6A"/>
    <w:rsid w:val="00650011"/>
    <w:rsid w:val="00655A6A"/>
    <w:rsid w:val="006566E0"/>
    <w:rsid w:val="006575A1"/>
    <w:rsid w:val="00662455"/>
    <w:rsid w:val="00670F76"/>
    <w:rsid w:val="00673052"/>
    <w:rsid w:val="00673A94"/>
    <w:rsid w:val="0068004F"/>
    <w:rsid w:val="006822C7"/>
    <w:rsid w:val="006822EA"/>
    <w:rsid w:val="006837E0"/>
    <w:rsid w:val="00684393"/>
    <w:rsid w:val="0068495A"/>
    <w:rsid w:val="00684980"/>
    <w:rsid w:val="00685474"/>
    <w:rsid w:val="00687BFA"/>
    <w:rsid w:val="0069147C"/>
    <w:rsid w:val="00692EA6"/>
    <w:rsid w:val="00694744"/>
    <w:rsid w:val="006A1194"/>
    <w:rsid w:val="006A186B"/>
    <w:rsid w:val="006A2759"/>
    <w:rsid w:val="006A2D46"/>
    <w:rsid w:val="006A31B9"/>
    <w:rsid w:val="006B4407"/>
    <w:rsid w:val="006B5D92"/>
    <w:rsid w:val="006B5DCB"/>
    <w:rsid w:val="006B7E77"/>
    <w:rsid w:val="006C01E4"/>
    <w:rsid w:val="006C2693"/>
    <w:rsid w:val="006C3C0C"/>
    <w:rsid w:val="006D0B60"/>
    <w:rsid w:val="006D10A7"/>
    <w:rsid w:val="006D3290"/>
    <w:rsid w:val="006E0042"/>
    <w:rsid w:val="006E1277"/>
    <w:rsid w:val="006E22CB"/>
    <w:rsid w:val="006E3397"/>
    <w:rsid w:val="006E38C8"/>
    <w:rsid w:val="006E482A"/>
    <w:rsid w:val="006E4E00"/>
    <w:rsid w:val="006E6CBC"/>
    <w:rsid w:val="006E6DBF"/>
    <w:rsid w:val="006E7E9D"/>
    <w:rsid w:val="006F285D"/>
    <w:rsid w:val="006F6267"/>
    <w:rsid w:val="006F7351"/>
    <w:rsid w:val="00701B11"/>
    <w:rsid w:val="00705158"/>
    <w:rsid w:val="007066D9"/>
    <w:rsid w:val="00711910"/>
    <w:rsid w:val="00711E1D"/>
    <w:rsid w:val="007147B9"/>
    <w:rsid w:val="00716718"/>
    <w:rsid w:val="00716875"/>
    <w:rsid w:val="00716AE9"/>
    <w:rsid w:val="00720241"/>
    <w:rsid w:val="007212DD"/>
    <w:rsid w:val="00730A4B"/>
    <w:rsid w:val="00730B22"/>
    <w:rsid w:val="00732C1C"/>
    <w:rsid w:val="00733C41"/>
    <w:rsid w:val="007368F1"/>
    <w:rsid w:val="00740FCF"/>
    <w:rsid w:val="0074492A"/>
    <w:rsid w:val="00746418"/>
    <w:rsid w:val="0074769F"/>
    <w:rsid w:val="007502A0"/>
    <w:rsid w:val="0075379E"/>
    <w:rsid w:val="007546EE"/>
    <w:rsid w:val="00755ADB"/>
    <w:rsid w:val="00762A5D"/>
    <w:rsid w:val="00763343"/>
    <w:rsid w:val="0076349A"/>
    <w:rsid w:val="00765BE2"/>
    <w:rsid w:val="00766C32"/>
    <w:rsid w:val="00766DC0"/>
    <w:rsid w:val="00767520"/>
    <w:rsid w:val="00767CC2"/>
    <w:rsid w:val="00771477"/>
    <w:rsid w:val="0077271E"/>
    <w:rsid w:val="007746E1"/>
    <w:rsid w:val="00780E81"/>
    <w:rsid w:val="00781112"/>
    <w:rsid w:val="007823C2"/>
    <w:rsid w:val="00784B3F"/>
    <w:rsid w:val="007866E5"/>
    <w:rsid w:val="007873B2"/>
    <w:rsid w:val="00794735"/>
    <w:rsid w:val="00797343"/>
    <w:rsid w:val="007A03FA"/>
    <w:rsid w:val="007A3EA3"/>
    <w:rsid w:val="007A5379"/>
    <w:rsid w:val="007A785B"/>
    <w:rsid w:val="007B0E92"/>
    <w:rsid w:val="007B4C8A"/>
    <w:rsid w:val="007B540B"/>
    <w:rsid w:val="007B77CB"/>
    <w:rsid w:val="007C3A9F"/>
    <w:rsid w:val="007C426C"/>
    <w:rsid w:val="007C5FDA"/>
    <w:rsid w:val="007C79B5"/>
    <w:rsid w:val="007D1B11"/>
    <w:rsid w:val="007D43AB"/>
    <w:rsid w:val="007D4F09"/>
    <w:rsid w:val="007D66AA"/>
    <w:rsid w:val="007D7019"/>
    <w:rsid w:val="007E20F1"/>
    <w:rsid w:val="007E6A59"/>
    <w:rsid w:val="007F01F5"/>
    <w:rsid w:val="007F038E"/>
    <w:rsid w:val="007F0AD6"/>
    <w:rsid w:val="007F459A"/>
    <w:rsid w:val="007F5968"/>
    <w:rsid w:val="00805227"/>
    <w:rsid w:val="008058FA"/>
    <w:rsid w:val="008065DA"/>
    <w:rsid w:val="008114F8"/>
    <w:rsid w:val="00811ABC"/>
    <w:rsid w:val="00812AAF"/>
    <w:rsid w:val="008132B6"/>
    <w:rsid w:val="008153E0"/>
    <w:rsid w:val="008179E4"/>
    <w:rsid w:val="00823057"/>
    <w:rsid w:val="008262D4"/>
    <w:rsid w:val="00833A50"/>
    <w:rsid w:val="008345FE"/>
    <w:rsid w:val="00836346"/>
    <w:rsid w:val="00837A87"/>
    <w:rsid w:val="00843EAD"/>
    <w:rsid w:val="00847E64"/>
    <w:rsid w:val="00853CC6"/>
    <w:rsid w:val="00856F1B"/>
    <w:rsid w:val="008606EA"/>
    <w:rsid w:val="008665E9"/>
    <w:rsid w:val="00867026"/>
    <w:rsid w:val="00871CBA"/>
    <w:rsid w:val="0088332D"/>
    <w:rsid w:val="00886B6A"/>
    <w:rsid w:val="00887293"/>
    <w:rsid w:val="00891797"/>
    <w:rsid w:val="00893512"/>
    <w:rsid w:val="008948E8"/>
    <w:rsid w:val="00895369"/>
    <w:rsid w:val="008A4B0B"/>
    <w:rsid w:val="008A725A"/>
    <w:rsid w:val="008B1ABF"/>
    <w:rsid w:val="008B773C"/>
    <w:rsid w:val="008C48E4"/>
    <w:rsid w:val="008C64F4"/>
    <w:rsid w:val="008C6849"/>
    <w:rsid w:val="008D74C0"/>
    <w:rsid w:val="008E0C88"/>
    <w:rsid w:val="008E5378"/>
    <w:rsid w:val="008E5BB7"/>
    <w:rsid w:val="008F01CD"/>
    <w:rsid w:val="008F1260"/>
    <w:rsid w:val="008F1788"/>
    <w:rsid w:val="008F24DF"/>
    <w:rsid w:val="008F557F"/>
    <w:rsid w:val="008F55E1"/>
    <w:rsid w:val="008F6AA9"/>
    <w:rsid w:val="008F6D46"/>
    <w:rsid w:val="009024EA"/>
    <w:rsid w:val="00906475"/>
    <w:rsid w:val="00911328"/>
    <w:rsid w:val="00911DA5"/>
    <w:rsid w:val="0091353F"/>
    <w:rsid w:val="0091399E"/>
    <w:rsid w:val="00916EC7"/>
    <w:rsid w:val="00924F18"/>
    <w:rsid w:val="009267BC"/>
    <w:rsid w:val="00933E1A"/>
    <w:rsid w:val="009366C0"/>
    <w:rsid w:val="00936D0A"/>
    <w:rsid w:val="00941B8B"/>
    <w:rsid w:val="00944753"/>
    <w:rsid w:val="00945DB4"/>
    <w:rsid w:val="00953BA2"/>
    <w:rsid w:val="00963EC2"/>
    <w:rsid w:val="00976CB9"/>
    <w:rsid w:val="00980C6A"/>
    <w:rsid w:val="00983AEC"/>
    <w:rsid w:val="00986DB7"/>
    <w:rsid w:val="00994509"/>
    <w:rsid w:val="009965C7"/>
    <w:rsid w:val="0099679A"/>
    <w:rsid w:val="009A0902"/>
    <w:rsid w:val="009A44C1"/>
    <w:rsid w:val="009B4069"/>
    <w:rsid w:val="009B7AD8"/>
    <w:rsid w:val="009B7D08"/>
    <w:rsid w:val="009C0734"/>
    <w:rsid w:val="009C371C"/>
    <w:rsid w:val="009C5AA5"/>
    <w:rsid w:val="009D107A"/>
    <w:rsid w:val="009D69A6"/>
    <w:rsid w:val="009D77D4"/>
    <w:rsid w:val="009E41C9"/>
    <w:rsid w:val="009E470B"/>
    <w:rsid w:val="009E6231"/>
    <w:rsid w:val="009E62E7"/>
    <w:rsid w:val="009F02A8"/>
    <w:rsid w:val="009F2412"/>
    <w:rsid w:val="009F3113"/>
    <w:rsid w:val="00A0059D"/>
    <w:rsid w:val="00A011C4"/>
    <w:rsid w:val="00A01DFF"/>
    <w:rsid w:val="00A03720"/>
    <w:rsid w:val="00A10A41"/>
    <w:rsid w:val="00A21CA7"/>
    <w:rsid w:val="00A23D46"/>
    <w:rsid w:val="00A25539"/>
    <w:rsid w:val="00A27A07"/>
    <w:rsid w:val="00A30BAB"/>
    <w:rsid w:val="00A30EE0"/>
    <w:rsid w:val="00A44F31"/>
    <w:rsid w:val="00A4678D"/>
    <w:rsid w:val="00A51764"/>
    <w:rsid w:val="00A52E81"/>
    <w:rsid w:val="00A63D72"/>
    <w:rsid w:val="00A65D59"/>
    <w:rsid w:val="00A73168"/>
    <w:rsid w:val="00A73194"/>
    <w:rsid w:val="00A75ADA"/>
    <w:rsid w:val="00A75B4F"/>
    <w:rsid w:val="00A76EE7"/>
    <w:rsid w:val="00A86D11"/>
    <w:rsid w:val="00A91301"/>
    <w:rsid w:val="00AA0F54"/>
    <w:rsid w:val="00AB03FE"/>
    <w:rsid w:val="00AB2029"/>
    <w:rsid w:val="00AB36AB"/>
    <w:rsid w:val="00AB4B31"/>
    <w:rsid w:val="00AB505A"/>
    <w:rsid w:val="00AB5A12"/>
    <w:rsid w:val="00AB5C3D"/>
    <w:rsid w:val="00AB7F43"/>
    <w:rsid w:val="00AC2B5A"/>
    <w:rsid w:val="00AC2E48"/>
    <w:rsid w:val="00AC5DB7"/>
    <w:rsid w:val="00AC7299"/>
    <w:rsid w:val="00AD0A5B"/>
    <w:rsid w:val="00AD32C7"/>
    <w:rsid w:val="00AD6546"/>
    <w:rsid w:val="00AE2976"/>
    <w:rsid w:val="00AE433E"/>
    <w:rsid w:val="00B02866"/>
    <w:rsid w:val="00B032B1"/>
    <w:rsid w:val="00B03A49"/>
    <w:rsid w:val="00B04E67"/>
    <w:rsid w:val="00B06241"/>
    <w:rsid w:val="00B06FFB"/>
    <w:rsid w:val="00B128C1"/>
    <w:rsid w:val="00B16BA5"/>
    <w:rsid w:val="00B20185"/>
    <w:rsid w:val="00B2179A"/>
    <w:rsid w:val="00B22F11"/>
    <w:rsid w:val="00B264CD"/>
    <w:rsid w:val="00B26D6D"/>
    <w:rsid w:val="00B2716C"/>
    <w:rsid w:val="00B30D82"/>
    <w:rsid w:val="00B3178A"/>
    <w:rsid w:val="00B331E4"/>
    <w:rsid w:val="00B33736"/>
    <w:rsid w:val="00B37D78"/>
    <w:rsid w:val="00B44C38"/>
    <w:rsid w:val="00B455A4"/>
    <w:rsid w:val="00B47E42"/>
    <w:rsid w:val="00B50590"/>
    <w:rsid w:val="00B546A5"/>
    <w:rsid w:val="00B554C1"/>
    <w:rsid w:val="00B55A5F"/>
    <w:rsid w:val="00B60891"/>
    <w:rsid w:val="00B62FA9"/>
    <w:rsid w:val="00B64158"/>
    <w:rsid w:val="00B66229"/>
    <w:rsid w:val="00B66689"/>
    <w:rsid w:val="00B77C9B"/>
    <w:rsid w:val="00B83323"/>
    <w:rsid w:val="00B838D9"/>
    <w:rsid w:val="00B83928"/>
    <w:rsid w:val="00B84AB5"/>
    <w:rsid w:val="00B935D9"/>
    <w:rsid w:val="00B943A5"/>
    <w:rsid w:val="00B9446C"/>
    <w:rsid w:val="00B9642B"/>
    <w:rsid w:val="00B977EB"/>
    <w:rsid w:val="00BA1840"/>
    <w:rsid w:val="00BA184F"/>
    <w:rsid w:val="00BA1D02"/>
    <w:rsid w:val="00BA4787"/>
    <w:rsid w:val="00BA4DDD"/>
    <w:rsid w:val="00BA77C6"/>
    <w:rsid w:val="00BB19E2"/>
    <w:rsid w:val="00BB2D25"/>
    <w:rsid w:val="00BB51CB"/>
    <w:rsid w:val="00BD26A6"/>
    <w:rsid w:val="00BD4D33"/>
    <w:rsid w:val="00BD52B0"/>
    <w:rsid w:val="00BD54E5"/>
    <w:rsid w:val="00BE078E"/>
    <w:rsid w:val="00BE151D"/>
    <w:rsid w:val="00BE4743"/>
    <w:rsid w:val="00BF0659"/>
    <w:rsid w:val="00BF6485"/>
    <w:rsid w:val="00C02C33"/>
    <w:rsid w:val="00C04B65"/>
    <w:rsid w:val="00C05F22"/>
    <w:rsid w:val="00C10700"/>
    <w:rsid w:val="00C1778D"/>
    <w:rsid w:val="00C2215B"/>
    <w:rsid w:val="00C3421A"/>
    <w:rsid w:val="00C42CFB"/>
    <w:rsid w:val="00C551FD"/>
    <w:rsid w:val="00C6488F"/>
    <w:rsid w:val="00C73CB6"/>
    <w:rsid w:val="00C76D00"/>
    <w:rsid w:val="00C87301"/>
    <w:rsid w:val="00C933BF"/>
    <w:rsid w:val="00C96B0E"/>
    <w:rsid w:val="00CA44FC"/>
    <w:rsid w:val="00CA5038"/>
    <w:rsid w:val="00CB3363"/>
    <w:rsid w:val="00CC4BC1"/>
    <w:rsid w:val="00CC63D6"/>
    <w:rsid w:val="00CD0341"/>
    <w:rsid w:val="00CD1478"/>
    <w:rsid w:val="00CD1F49"/>
    <w:rsid w:val="00CD25BA"/>
    <w:rsid w:val="00CD4829"/>
    <w:rsid w:val="00CE232A"/>
    <w:rsid w:val="00CF01DE"/>
    <w:rsid w:val="00D04698"/>
    <w:rsid w:val="00D07424"/>
    <w:rsid w:val="00D12780"/>
    <w:rsid w:val="00D13BCB"/>
    <w:rsid w:val="00D14829"/>
    <w:rsid w:val="00D157B6"/>
    <w:rsid w:val="00D17080"/>
    <w:rsid w:val="00D22526"/>
    <w:rsid w:val="00D244AC"/>
    <w:rsid w:val="00D24FF5"/>
    <w:rsid w:val="00D301AB"/>
    <w:rsid w:val="00D31347"/>
    <w:rsid w:val="00D3404C"/>
    <w:rsid w:val="00D34F8D"/>
    <w:rsid w:val="00D3612C"/>
    <w:rsid w:val="00D367EB"/>
    <w:rsid w:val="00D40065"/>
    <w:rsid w:val="00D50F91"/>
    <w:rsid w:val="00D52EF3"/>
    <w:rsid w:val="00D53AEA"/>
    <w:rsid w:val="00D53B69"/>
    <w:rsid w:val="00D53FC0"/>
    <w:rsid w:val="00D5647D"/>
    <w:rsid w:val="00D56DAB"/>
    <w:rsid w:val="00D66E5A"/>
    <w:rsid w:val="00D70157"/>
    <w:rsid w:val="00D71051"/>
    <w:rsid w:val="00D75FC1"/>
    <w:rsid w:val="00D7684E"/>
    <w:rsid w:val="00D80E7B"/>
    <w:rsid w:val="00D81AF1"/>
    <w:rsid w:val="00D85514"/>
    <w:rsid w:val="00D87930"/>
    <w:rsid w:val="00D87A1B"/>
    <w:rsid w:val="00D91208"/>
    <w:rsid w:val="00D91817"/>
    <w:rsid w:val="00D9716B"/>
    <w:rsid w:val="00D97CC1"/>
    <w:rsid w:val="00DA3237"/>
    <w:rsid w:val="00DA5FB6"/>
    <w:rsid w:val="00DA757A"/>
    <w:rsid w:val="00DB0BD3"/>
    <w:rsid w:val="00DB260D"/>
    <w:rsid w:val="00DB33CA"/>
    <w:rsid w:val="00DB3C29"/>
    <w:rsid w:val="00DC0A54"/>
    <w:rsid w:val="00DC0A9B"/>
    <w:rsid w:val="00DC1AF7"/>
    <w:rsid w:val="00DC6C40"/>
    <w:rsid w:val="00DD0457"/>
    <w:rsid w:val="00DD1ACE"/>
    <w:rsid w:val="00DD2690"/>
    <w:rsid w:val="00DF462A"/>
    <w:rsid w:val="00DF608B"/>
    <w:rsid w:val="00DF6C6A"/>
    <w:rsid w:val="00DF724A"/>
    <w:rsid w:val="00DF7F62"/>
    <w:rsid w:val="00E00999"/>
    <w:rsid w:val="00E0250D"/>
    <w:rsid w:val="00E079D7"/>
    <w:rsid w:val="00E10AF9"/>
    <w:rsid w:val="00E21648"/>
    <w:rsid w:val="00E23540"/>
    <w:rsid w:val="00E235D8"/>
    <w:rsid w:val="00E23BBB"/>
    <w:rsid w:val="00E2648F"/>
    <w:rsid w:val="00E30E16"/>
    <w:rsid w:val="00E37F57"/>
    <w:rsid w:val="00E4062F"/>
    <w:rsid w:val="00E40F89"/>
    <w:rsid w:val="00E41475"/>
    <w:rsid w:val="00E4345E"/>
    <w:rsid w:val="00E46FDB"/>
    <w:rsid w:val="00E508DF"/>
    <w:rsid w:val="00E545FB"/>
    <w:rsid w:val="00E561D5"/>
    <w:rsid w:val="00E56CC4"/>
    <w:rsid w:val="00E5773A"/>
    <w:rsid w:val="00E60681"/>
    <w:rsid w:val="00E6250F"/>
    <w:rsid w:val="00E64FA0"/>
    <w:rsid w:val="00E739B0"/>
    <w:rsid w:val="00E765BA"/>
    <w:rsid w:val="00E7674A"/>
    <w:rsid w:val="00E77B60"/>
    <w:rsid w:val="00E77EE4"/>
    <w:rsid w:val="00E80514"/>
    <w:rsid w:val="00E814C2"/>
    <w:rsid w:val="00E815A6"/>
    <w:rsid w:val="00E8186C"/>
    <w:rsid w:val="00E83FA5"/>
    <w:rsid w:val="00E8519B"/>
    <w:rsid w:val="00E852B3"/>
    <w:rsid w:val="00E86EED"/>
    <w:rsid w:val="00E86FA5"/>
    <w:rsid w:val="00E90367"/>
    <w:rsid w:val="00E91FBC"/>
    <w:rsid w:val="00EA075D"/>
    <w:rsid w:val="00EA1321"/>
    <w:rsid w:val="00EA16FD"/>
    <w:rsid w:val="00EA1728"/>
    <w:rsid w:val="00EA4434"/>
    <w:rsid w:val="00EB1EBA"/>
    <w:rsid w:val="00EB2853"/>
    <w:rsid w:val="00EB3F61"/>
    <w:rsid w:val="00EB46B7"/>
    <w:rsid w:val="00EB699D"/>
    <w:rsid w:val="00EC0580"/>
    <w:rsid w:val="00ED092F"/>
    <w:rsid w:val="00ED0F44"/>
    <w:rsid w:val="00ED1FA3"/>
    <w:rsid w:val="00EE0AB5"/>
    <w:rsid w:val="00EE3833"/>
    <w:rsid w:val="00EE69F3"/>
    <w:rsid w:val="00EE76C2"/>
    <w:rsid w:val="00EE78D2"/>
    <w:rsid w:val="00EF06A0"/>
    <w:rsid w:val="00EF19B5"/>
    <w:rsid w:val="00EF4D77"/>
    <w:rsid w:val="00EF51EF"/>
    <w:rsid w:val="00EF5ED8"/>
    <w:rsid w:val="00EF6A74"/>
    <w:rsid w:val="00F066B9"/>
    <w:rsid w:val="00F10D0D"/>
    <w:rsid w:val="00F11248"/>
    <w:rsid w:val="00F12DC8"/>
    <w:rsid w:val="00F13CCF"/>
    <w:rsid w:val="00F2580D"/>
    <w:rsid w:val="00F26AF1"/>
    <w:rsid w:val="00F30493"/>
    <w:rsid w:val="00F34829"/>
    <w:rsid w:val="00F430A4"/>
    <w:rsid w:val="00F43142"/>
    <w:rsid w:val="00F44C97"/>
    <w:rsid w:val="00F45059"/>
    <w:rsid w:val="00F461B0"/>
    <w:rsid w:val="00F51156"/>
    <w:rsid w:val="00F512F3"/>
    <w:rsid w:val="00F516E0"/>
    <w:rsid w:val="00F51CC8"/>
    <w:rsid w:val="00F520FB"/>
    <w:rsid w:val="00F52624"/>
    <w:rsid w:val="00F557AC"/>
    <w:rsid w:val="00F7489D"/>
    <w:rsid w:val="00F768C2"/>
    <w:rsid w:val="00F76C4E"/>
    <w:rsid w:val="00F8034B"/>
    <w:rsid w:val="00F81D04"/>
    <w:rsid w:val="00F8235B"/>
    <w:rsid w:val="00F83D47"/>
    <w:rsid w:val="00F865B8"/>
    <w:rsid w:val="00F96CEF"/>
    <w:rsid w:val="00F97D29"/>
    <w:rsid w:val="00FA045E"/>
    <w:rsid w:val="00FA0982"/>
    <w:rsid w:val="00FA499E"/>
    <w:rsid w:val="00FA4DC3"/>
    <w:rsid w:val="00FA6697"/>
    <w:rsid w:val="00FB196C"/>
    <w:rsid w:val="00FB41E0"/>
    <w:rsid w:val="00FB4F7F"/>
    <w:rsid w:val="00FB69A2"/>
    <w:rsid w:val="00FB6B06"/>
    <w:rsid w:val="00FB74E9"/>
    <w:rsid w:val="00FC0032"/>
    <w:rsid w:val="00FC6DCD"/>
    <w:rsid w:val="00FC6E0E"/>
    <w:rsid w:val="00FC7E41"/>
    <w:rsid w:val="00FD1B77"/>
    <w:rsid w:val="00FD2C36"/>
    <w:rsid w:val="00FD3357"/>
    <w:rsid w:val="00FE11D3"/>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17495"/>
  <w15:chartTrackingRefBased/>
  <w15:docId w15:val="{9DC17D2A-DC74-450D-AAD2-14C234D1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paragraph" w:styleId="Heading4">
    <w:name w:val="heading 4"/>
    <w:basedOn w:val="Normal"/>
    <w:next w:val="Normal"/>
    <w:link w:val="Heading4Char"/>
    <w:semiHidden/>
    <w:unhideWhenUsed/>
    <w:qFormat/>
    <w:rsid w:val="005A168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link w:val="FootnoteText"/>
    <w:rsid w:val="00911328"/>
    <w:rPr>
      <w:rFonts w:ascii="Times New Roman" w:hAnsi="Times New Roman"/>
      <w:lang w:val="en-AU"/>
    </w:rPr>
  </w:style>
  <w:style w:type="character" w:styleId="FootnoteReference">
    <w:name w:val="footnote reference"/>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link w:val="EndnoteText"/>
    <w:semiHidden/>
    <w:rsid w:val="002D50A5"/>
    <w:rPr>
      <w:rFonts w:ascii="Times New Roman" w:hAnsi="Times New Roman"/>
      <w:lang w:val="en-AU" w:eastAsia="tr-TR"/>
    </w:rPr>
  </w:style>
  <w:style w:type="character" w:styleId="EndnoteReference">
    <w:name w:val="endnote reference"/>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JEREChar">
    <w:name w:val="Header_JERE Char"/>
    <w:link w:val="HeaderJERE"/>
    <w:rsid w:val="009E41C9"/>
    <w:rPr>
      <w:rFonts w:ascii="Cambria" w:hAnsi="Cambria"/>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99"/>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uiPriority w:val="20"/>
    <w:qFormat/>
    <w:rsid w:val="00833A50"/>
    <w:rPr>
      <w:i/>
      <w:iCs/>
    </w:rPr>
  </w:style>
  <w:style w:type="character" w:customStyle="1" w:styleId="HeaderChar">
    <w:name w:val="Header Char"/>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qFormat/>
    <w:rsid w:val="000F0D1C"/>
    <w:pPr>
      <w:ind w:left="8221" w:hanging="8204"/>
      <w:jc w:val="both"/>
    </w:pPr>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6369BA"/>
    <w:rPr>
      <w:b/>
      <w:bCs/>
    </w:rPr>
  </w:style>
  <w:style w:type="paragraph" w:styleId="Bibliography">
    <w:name w:val="Bibliography"/>
    <w:basedOn w:val="Normal"/>
    <w:next w:val="Normal"/>
    <w:uiPriority w:val="37"/>
    <w:unhideWhenUsed/>
    <w:rsid w:val="00A27A07"/>
  </w:style>
  <w:style w:type="character" w:customStyle="1" w:styleId="UnresolvedMention1">
    <w:name w:val="Unresolved Mention1"/>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link w:val="BodyTextIndent3"/>
    <w:semiHidden/>
    <w:rsid w:val="00A21CA7"/>
    <w:rPr>
      <w:rFonts w:ascii="Times New Roman" w:hAnsi="Times New Roman"/>
      <w:sz w:val="16"/>
      <w:szCs w:val="16"/>
      <w:lang w:val="en-AU" w:eastAsia="tr-TR"/>
    </w:rPr>
  </w:style>
  <w:style w:type="table" w:styleId="PlainTable2">
    <w:name w:val="Plain Table 2"/>
    <w:basedOn w:val="TableNormal"/>
    <w:uiPriority w:val="42"/>
    <w:rsid w:val="0027226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
    <w:name w:val="Plain Table 21"/>
    <w:basedOn w:val="TableNormal"/>
    <w:uiPriority w:val="42"/>
    <w:rsid w:val="00D3134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22"/>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
    <w:name w:val="Table Grid15"/>
    <w:basedOn w:val="TableNormal"/>
    <w:next w:val="TableGrid"/>
    <w:uiPriority w:val="39"/>
    <w:rsid w:val="00036836"/>
    <w:rPr>
      <w:rFonts w:ascii="Calibri" w:hAnsi="Calibr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Calibri" w:hAnsi="Calibr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5773A"/>
    <w:pPr>
      <w:adjustRightInd w:val="0"/>
      <w:snapToGrid w:val="0"/>
      <w:spacing w:before="0" w:line="240" w:lineRule="auto"/>
      <w:ind w:firstLine="216"/>
    </w:pPr>
    <w:rPr>
      <w:rFonts w:eastAsia="SimSun"/>
      <w:szCs w:val="24"/>
      <w:lang w:eastAsia="zh-CN"/>
    </w:rPr>
  </w:style>
  <w:style w:type="character" w:customStyle="1" w:styleId="IEEEParagraphChar">
    <w:name w:val="IEEE Paragraph Char"/>
    <w:link w:val="IEEEParagraph"/>
    <w:rsid w:val="00E5773A"/>
    <w:rPr>
      <w:rFonts w:ascii="Times New Roman" w:eastAsia="SimSun" w:hAnsi="Times New Roman"/>
      <w:sz w:val="24"/>
      <w:szCs w:val="24"/>
      <w:lang w:val="en-AU" w:eastAsia="zh-CN"/>
    </w:rPr>
  </w:style>
  <w:style w:type="table" w:customStyle="1" w:styleId="PlainTable25">
    <w:name w:val="Plain Table 25"/>
    <w:basedOn w:val="TableNormal"/>
    <w:next w:val="PlainTable2"/>
    <w:uiPriority w:val="42"/>
    <w:rsid w:val="007C3A9F"/>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FigureCaptionSingle-Line">
    <w:name w:val="IEEE Figure Caption Single-Line"/>
    <w:basedOn w:val="Normal"/>
    <w:next w:val="Normal"/>
    <w:rsid w:val="002C631D"/>
    <w:pPr>
      <w:spacing w:before="120" w:after="120" w:line="240" w:lineRule="auto"/>
      <w:jc w:val="center"/>
    </w:pPr>
    <w:rPr>
      <w:rFonts w:eastAsia="SimSun"/>
      <w:sz w:val="16"/>
      <w:szCs w:val="24"/>
      <w:lang w:eastAsia="zh-CN"/>
    </w:rPr>
  </w:style>
  <w:style w:type="table" w:customStyle="1" w:styleId="TableGrid22">
    <w:name w:val="Table Grid22"/>
    <w:basedOn w:val="TableNormal"/>
    <w:next w:val="TableGrid"/>
    <w:uiPriority w:val="39"/>
    <w:rsid w:val="004663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5A1688"/>
    <w:rPr>
      <w:rFonts w:asciiTheme="majorHAnsi" w:eastAsiaTheme="majorEastAsia" w:hAnsiTheme="majorHAnsi" w:cstheme="majorBidi"/>
      <w:i/>
      <w:iCs/>
      <w:color w:val="2F5496" w:themeColor="accent1" w:themeShade="BF"/>
      <w:sz w:val="24"/>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330454963">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044669820">
      <w:bodyDiv w:val="1"/>
      <w:marLeft w:val="0"/>
      <w:marRight w:val="0"/>
      <w:marTop w:val="0"/>
      <w:marBottom w:val="0"/>
      <w:divBdr>
        <w:top w:val="none" w:sz="0" w:space="0" w:color="auto"/>
        <w:left w:val="none" w:sz="0" w:space="0" w:color="auto"/>
        <w:bottom w:val="none" w:sz="0" w:space="0" w:color="auto"/>
        <w:right w:val="none" w:sz="0" w:space="0" w:color="auto"/>
      </w:divBdr>
      <w:divsChild>
        <w:div w:id="1504201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4036/jpdn.v7i2.4567" TargetMode="External"/><Relationship Id="rId18" Type="http://schemas.openxmlformats.org/officeDocument/2006/relationships/hyperlink" Target="https://doi.org/10.24832/jpdi.v8i3.7712" TargetMode="External"/><Relationship Id="rId26" Type="http://schemas.openxmlformats.org/officeDocument/2006/relationships/hyperlink" Target="https://doi.org/10.15294/jpii.v11i2.35432" TargetMode="External"/><Relationship Id="rId39" Type="http://schemas.openxmlformats.org/officeDocument/2006/relationships/header" Target="header2.xml"/><Relationship Id="rId21" Type="http://schemas.openxmlformats.org/officeDocument/2006/relationships/hyperlink" Target="https://doi.org/10.1787/5f07c754-en" TargetMode="External"/><Relationship Id="rId34" Type="http://schemas.openxmlformats.org/officeDocument/2006/relationships/hyperlink" Target="https://doi.org/10.15294/jpii.v12i1.67413"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2528/jppd.v9i2.5120" TargetMode="External"/><Relationship Id="rId29" Type="http://schemas.openxmlformats.org/officeDocument/2006/relationships/hyperlink" Target="https://doi.org/10.23887/jisd.v7i2.592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hyperlink" Target="https://doi.org/10.15294/jpsi.v12i2.69254" TargetMode="External"/><Relationship Id="rId32" Type="http://schemas.openxmlformats.org/officeDocument/2006/relationships/hyperlink" Target="https://doi.org/10.24832/jpdi.v7i2.62312" TargetMode="External"/><Relationship Id="rId37" Type="http://schemas.openxmlformats.org/officeDocument/2006/relationships/hyperlink" Target="https://doi.org/10.15294/jpii.v10i3.33124"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3887/jisd.v7i1.57992" TargetMode="External"/><Relationship Id="rId23" Type="http://schemas.openxmlformats.org/officeDocument/2006/relationships/hyperlink" Target="https://doi.org/10.23887/jipd.v8i2.40112" TargetMode="External"/><Relationship Id="rId28" Type="http://schemas.openxmlformats.org/officeDocument/2006/relationships/hyperlink" Target="https://doi.org/10.15294/jpii.v10i4.33722" TargetMode="External"/><Relationship Id="rId36" Type="http://schemas.openxmlformats.org/officeDocument/2006/relationships/hyperlink" Target="https://doi.org/10.24832/jpdi.v8i2.78214" TargetMode="External"/><Relationship Id="rId10" Type="http://schemas.openxmlformats.org/officeDocument/2006/relationships/hyperlink" Target="mailto:bulana280@gmail.com" TargetMode="External"/><Relationship Id="rId19" Type="http://schemas.openxmlformats.org/officeDocument/2006/relationships/hyperlink" Target="https://doi.org/10.17509/jser.v14i2.59128" TargetMode="External"/><Relationship Id="rId31" Type="http://schemas.openxmlformats.org/officeDocument/2006/relationships/hyperlink" Target="https://doi.org/10.24036/jpdn.v7i3.478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orcid.org/static/release-1.287.15/img/orcid-og-image.png" TargetMode="External"/><Relationship Id="rId14" Type="http://schemas.openxmlformats.org/officeDocument/2006/relationships/hyperlink" Target="https://doi.org/10.15294/jpii.v11i4.36522" TargetMode="External"/><Relationship Id="rId22" Type="http://schemas.openxmlformats.org/officeDocument/2006/relationships/hyperlink" Target="https://doi.org/10.1787/7f9c4d5a-en" TargetMode="External"/><Relationship Id="rId27" Type="http://schemas.openxmlformats.org/officeDocument/2006/relationships/hyperlink" Target="https://doi.org/10.15294/jps.v10i3.36011" TargetMode="External"/><Relationship Id="rId30" Type="http://schemas.openxmlformats.org/officeDocument/2006/relationships/hyperlink" Target="https://doi.org/10.24832/jpdi.v7i1.61213" TargetMode="External"/><Relationship Id="rId35" Type="http://schemas.openxmlformats.org/officeDocument/2006/relationships/hyperlink" Target="https://doi.org/10.24036/jpdn.v8i1.70322"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kurikulum.kemdikbud.go.id" TargetMode="External"/><Relationship Id="rId25" Type="http://schemas.openxmlformats.org/officeDocument/2006/relationships/hyperlink" Target="https://doi.org/10.24832/jpdi.v8i1.75291" TargetMode="External"/><Relationship Id="rId33" Type="http://schemas.openxmlformats.org/officeDocument/2006/relationships/hyperlink" Target="https://doi.org/10.23887/jisd.v7i3.59871" TargetMode="External"/><Relationship Id="rId38" Type="http://schemas.openxmlformats.org/officeDocument/2006/relationships/header" Target="header1.xml"/><Relationship Id="rId20" Type="http://schemas.openxmlformats.org/officeDocument/2006/relationships/hyperlink" Target="https://doi.org/10.15294/jpsi.v12i1.67241" TargetMode="External"/><Relationship Id="rId41"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u.lipi.go.id/1488121543" TargetMode="External"/><Relationship Id="rId1" Type="http://schemas.openxmlformats.org/officeDocument/2006/relationships/hyperlink" Target="http://u.lipi.go.id/1486478977"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bulana280@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ojs.ptliterana.id/index.php/ijepi/id"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EGa07</b:Tag>
    <b:SourceType>JournalArticle</b:SourceType>
    <b:Guid>{09F10DD5-C8B6-4434-AFC0-A5B8A57757AA}</b:Guid>
    <b:Title>EGameFlow : A scale to measure learners' Enjoyment of e-learning games</b:Title>
    <b:JournalName>Elsevier</b:JournalName>
    <b:Year>2009</b:Year>
    <b:Pages>101-112</b:Pages>
    <b:Author>
      <b:Author>
        <b:NameList>
          <b:Person>
            <b:Last>Fu</b:Last>
            <b:First>Fong-Ling</b:First>
          </b:Person>
          <b:Person>
            <b:Last>Su</b:Last>
            <b:First>Rong-Chang</b:First>
          </b:Person>
          <b:Person>
            <b:Last>Yu</b:Last>
            <b:First>Seng-Chin</b:First>
          </b:Person>
        </b:NameList>
      </b:Author>
    </b:Author>
    <b:RefOrder>4</b:RefOrder>
  </b:Source>
</b:Sources>
</file>

<file path=customXml/itemProps1.xml><?xml version="1.0" encoding="utf-8"?>
<ds:datastoreItem xmlns:ds="http://schemas.openxmlformats.org/officeDocument/2006/customXml" ds:itemID="{04E12FD3-9C04-4E02-B924-DB1907F1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6319</Words>
  <Characters>44983</Characters>
  <Application>Microsoft Office Word</Application>
  <DocSecurity>0</DocSecurity>
  <Lines>374</Lines>
  <Paragraphs>102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51200</CharactersWithSpaces>
  <SharedDoc>false</SharedDoc>
  <HLinks>
    <vt:vector size="30" baseType="variant">
      <vt:variant>
        <vt:i4>3604606</vt:i4>
      </vt:variant>
      <vt:variant>
        <vt:i4>0</vt:i4>
      </vt:variant>
      <vt:variant>
        <vt:i4>0</vt:i4>
      </vt:variant>
      <vt:variant>
        <vt:i4>5</vt:i4>
      </vt:variant>
      <vt:variant>
        <vt:lpwstr>https://creativecommons.org/licenses/by-sa/4.0/</vt:lpwstr>
      </vt:variant>
      <vt:variant>
        <vt:lpwstr/>
      </vt:variant>
      <vt:variant>
        <vt:i4>6684683</vt:i4>
      </vt:variant>
      <vt:variant>
        <vt:i4>12</vt:i4>
      </vt:variant>
      <vt:variant>
        <vt:i4>0</vt:i4>
      </vt:variant>
      <vt:variant>
        <vt:i4>5</vt:i4>
      </vt:variant>
      <vt:variant>
        <vt:lpwstr>mailto:Penulis1@gmail.com</vt:lpwstr>
      </vt:variant>
      <vt:variant>
        <vt:lpwstr/>
      </vt:variant>
      <vt:variant>
        <vt:i4>8192055</vt:i4>
      </vt:variant>
      <vt:variant>
        <vt:i4>3</vt:i4>
      </vt:variant>
      <vt:variant>
        <vt:i4>0</vt:i4>
      </vt:variant>
      <vt:variant>
        <vt:i4>5</vt:i4>
      </vt:variant>
      <vt:variant>
        <vt:lpwstr>http://u.lipi.go.id/1488121543</vt:lpwstr>
      </vt:variant>
      <vt:variant>
        <vt:lpwstr/>
      </vt:variant>
      <vt:variant>
        <vt:i4>8257592</vt:i4>
      </vt:variant>
      <vt:variant>
        <vt:i4>0</vt:i4>
      </vt:variant>
      <vt:variant>
        <vt:i4>0</vt:i4>
      </vt:variant>
      <vt:variant>
        <vt:i4>5</vt:i4>
      </vt:variant>
      <vt:variant>
        <vt:lpwstr>http://u.lipi.go.id/1486478977</vt:lpwstr>
      </vt:variant>
      <vt:variant>
        <vt:lpwstr/>
      </vt:variant>
      <vt:variant>
        <vt:i4>4390985</vt:i4>
      </vt:variant>
      <vt:variant>
        <vt:i4>-1</vt:i4>
      </vt:variant>
      <vt:variant>
        <vt:i4>1027</vt:i4>
      </vt:variant>
      <vt:variant>
        <vt:i4>1</vt:i4>
      </vt:variant>
      <vt:variant>
        <vt:lpwstr>https://orcid.org/static/release-1.287.15/img/orcid-og-image.png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subject/>
  <dc:creator>icpres</dc:creator>
  <cp:keywords/>
  <cp:lastModifiedBy>ida wahyu</cp:lastModifiedBy>
  <cp:revision>2</cp:revision>
  <cp:lastPrinted>2022-03-01T07:02:00Z</cp:lastPrinted>
  <dcterms:created xsi:type="dcterms:W3CDTF">2025-10-25T10:35:00Z</dcterms:created>
  <dcterms:modified xsi:type="dcterms:W3CDTF">2025-10-25T10:35:00Z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http://www.zotero.org/styles/apa</vt:lpwstr>
  </property>
</Properties>
</file>